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2019级师范专业人才培养方案</w:t>
      </w:r>
      <w:r>
        <w:rPr>
          <w:rFonts w:hint="eastAsia" w:cs="宋体"/>
          <w:b/>
          <w:bCs/>
          <w:sz w:val="32"/>
          <w:szCs w:val="32"/>
          <w:lang w:val="en-US" w:eastAsia="zh-CN"/>
        </w:rPr>
        <w:t>修订中的几点注意事项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根据今年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7月10日学校转发的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教育部的文件，增开一门心理健康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教育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课。课程设置在第五学期，公共必修课。请在此次核对过程中加入本门课程，加入课程后注意各个部分数据的调整。</w:t>
      </w:r>
    </w:p>
    <w:tbl>
      <w:tblPr>
        <w:tblStyle w:val="5"/>
        <w:tblW w:w="9975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840"/>
        <w:gridCol w:w="780"/>
        <w:gridCol w:w="1350"/>
        <w:gridCol w:w="975"/>
        <w:gridCol w:w="810"/>
        <w:gridCol w:w="870"/>
        <w:gridCol w:w="855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59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59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59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学分/学时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总学时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理论学时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实践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学时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590" w:lineRule="exact"/>
              <w:ind w:leftChars="0"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心理健康教育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0.5/总课时8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8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以讲座形式开展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根据10月18日收到的教育部关于《普通高等学校军事课建设标准的通知》要求，《军事技能》我校称为《国防教育》课时不少于112学时。请各专业带头人调整学时数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，注意整体数据的调整。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形势与政策课程，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根据学时学分转换比例，将学分调整为0.5，其他保持不变。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leftChars="0" w:right="0" w:rightChars="0" w:firstLine="560" w:firstLineChars="200"/>
        <w:textAlignment w:val="auto"/>
        <w:rPr>
          <w:rFonts w:hint="eastAsia" w:ascii="宋体" w:hAnsi="宋体" w:eastAsia="方正仿宋_GBK" w:cs="宋体"/>
          <w:b w:val="0"/>
          <w:bCs w:val="0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方正仿宋_GBK" w:cs="宋体"/>
          <w:b w:val="0"/>
          <w:bCs w:val="0"/>
          <w:color w:val="auto"/>
          <w:kern w:val="0"/>
          <w:sz w:val="28"/>
          <w:szCs w:val="28"/>
          <w:lang w:val="en-US" w:eastAsia="zh-CN" w:bidi="ar-SA"/>
        </w:rPr>
        <w:t>4.每周周课时不超过24课时。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-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方正黑体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黑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黑体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方正小标宋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71279151">
    <w:nsid w:val="5DA7D12F"/>
    <w:multiLevelType w:val="singleLevel"/>
    <w:tmpl w:val="5DA7D12F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5712791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B69FC"/>
    <w:rsid w:val="0D06280A"/>
    <w:rsid w:val="166E6356"/>
    <w:rsid w:val="180B69FC"/>
    <w:rsid w:val="31577A3E"/>
    <w:rsid w:val="3A3A0EA8"/>
    <w:rsid w:val="4FCF77B9"/>
    <w:rsid w:val="51066496"/>
    <w:rsid w:val="7A413A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90" w:lineRule="exact"/>
      <w:ind w:firstLine="630" w:firstLineChars="200"/>
    </w:pPr>
    <w:rPr>
      <w:rFonts w:ascii="宋体" w:hAnsi="宋体" w:eastAsia="方正仿宋_GBK" w:cs="宋体"/>
      <w:color w:val="auto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2019-10-17T02:20:00Z</dcterms:created>
  <dc:creator>chyy</dc:creator>
  <cp:lastModifiedBy>chyy</cp:lastModifiedBy>
  <dcterms:modified xsi:type="dcterms:W3CDTF">2019-11-13T07:57:04Z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