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3" w:firstLineChars="200"/>
        <w:textAlignment w:val="auto"/>
        <w:rPr>
          <w:rFonts w:hint="eastAsia" w:ascii="方正黑体_GBK" w:hAnsi="方正黑体_GBK" w:eastAsia="方正黑体_GBK" w:cs="方正黑体_GBK"/>
          <w:b/>
          <w:color w:val="333333"/>
          <w:sz w:val="36"/>
          <w:szCs w:val="36"/>
        </w:rPr>
      </w:pPr>
      <w:bookmarkStart w:id="0" w:name="_GoBack"/>
      <w:r>
        <w:rPr>
          <w:rFonts w:hint="eastAsia" w:ascii="方正黑体_GBK" w:hAnsi="方正黑体_GBK" w:eastAsia="方正黑体_GBK" w:cs="方正黑体_GBK"/>
          <w:b/>
          <w:i w:val="0"/>
          <w:color w:val="333333"/>
          <w:sz w:val="36"/>
          <w:szCs w:val="36"/>
          <w:shd w:val="clear" w:fill="FFFFFF"/>
        </w:rPr>
        <w:t>关于《中华人民共和国民法典（草案）》的说明</w:t>
      </w:r>
      <w:bookmarkEnd w:id="0"/>
      <w:r>
        <w:rPr>
          <w:rFonts w:hint="eastAsia" w:ascii="方正黑体_GBK" w:hAnsi="方正黑体_GBK" w:eastAsia="方正黑体_GBK" w:cs="方正黑体_GBK"/>
          <w:b/>
          <w:i w:val="0"/>
          <w:color w:val="333333"/>
          <w:sz w:val="36"/>
          <w:szCs w:val="36"/>
          <w:shd w:val="clear" w:fill="FFFFFF"/>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Style w:val="6"/>
          <w:rFonts w:hint="eastAsia" w:ascii="方正黑体_GBK" w:hAnsi="方正黑体_GBK" w:eastAsia="方正黑体_GBK" w:cs="方正黑体_GBK"/>
          <w:i w:val="0"/>
          <w:color w:val="333333"/>
          <w:sz w:val="28"/>
          <w:szCs w:val="28"/>
          <w:shd w:val="clear" w:fill="FFFFFF"/>
        </w:rPr>
      </w:pPr>
      <w:r>
        <w:rPr>
          <w:rFonts w:hint="eastAsia" w:ascii="方正黑体_GBK" w:hAnsi="方正黑体_GBK" w:eastAsia="方正黑体_GBK" w:cs="方正黑体_GBK"/>
          <w:color w:val="333333"/>
          <w:sz w:val="28"/>
          <w:szCs w:val="28"/>
          <w:lang w:val="en-US" w:eastAsia="zh-CN"/>
        </w:rPr>
        <w:fldChar w:fldCharType="begin"/>
      </w:r>
      <w:r>
        <w:rPr>
          <w:rFonts w:hint="eastAsia" w:ascii="方正黑体_GBK" w:hAnsi="方正黑体_GBK" w:eastAsia="方正黑体_GBK" w:cs="方正黑体_GBK"/>
          <w:color w:val="333333"/>
          <w:sz w:val="28"/>
          <w:szCs w:val="28"/>
          <w:lang w:val="en-US" w:eastAsia="zh-CN"/>
        </w:rPr>
        <w:instrText xml:space="preserve"> HYPERLINK "http://www.12371.cn/2020/05/22/ARTI1590156366796834.shtml" </w:instrText>
      </w:r>
      <w:r>
        <w:rPr>
          <w:rFonts w:hint="eastAsia" w:ascii="方正黑体_GBK" w:hAnsi="方正黑体_GBK" w:eastAsia="方正黑体_GBK" w:cs="方正黑体_GBK"/>
          <w:color w:val="333333"/>
          <w:sz w:val="28"/>
          <w:szCs w:val="28"/>
          <w:lang w:val="en-US" w:eastAsia="zh-CN"/>
        </w:rPr>
        <w:fldChar w:fldCharType="separate"/>
      </w:r>
      <w:r>
        <w:rPr>
          <w:rFonts w:hint="eastAsia" w:ascii="方正黑体_GBK" w:hAnsi="方正黑体_GBK" w:eastAsia="方正黑体_GBK" w:cs="方正黑体_GBK"/>
          <w:color w:val="333333"/>
          <w:sz w:val="28"/>
          <w:szCs w:val="28"/>
          <w:lang w:val="en-US" w:eastAsia="zh-CN"/>
        </w:rPr>
        <w:fldChar w:fldCharType="end"/>
      </w:r>
      <w:r>
        <w:rPr>
          <w:rStyle w:val="6"/>
          <w:rFonts w:hint="eastAsia" w:ascii="方正黑体_GBK" w:hAnsi="方正黑体_GBK" w:eastAsia="方正黑体_GBK" w:cs="方正黑体_GBK"/>
          <w:i w:val="0"/>
          <w:color w:val="333333"/>
          <w:sz w:val="28"/>
          <w:szCs w:val="28"/>
          <w:shd w:val="clear" w:fill="FFFFFF"/>
        </w:rPr>
        <w:t>——2020年5月22日在第十三届全国人民代表大会第三次会议上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3" w:firstLineChars="200"/>
        <w:jc w:val="left"/>
        <w:textAlignment w:val="auto"/>
        <w:rPr>
          <w:rStyle w:val="6"/>
          <w:rFonts w:hint="eastAsia" w:ascii="方正黑体_GBK" w:hAnsi="方正黑体_GBK" w:eastAsia="方正黑体_GBK" w:cs="方正黑体_GBK"/>
          <w:i w:val="0"/>
          <w:color w:val="333333"/>
          <w:sz w:val="36"/>
          <w:szCs w:val="36"/>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全国人民代表大会常务委员会副委员长　王晨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各位代表：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我受全国人大常委会委托，作关于《中华人民共和国民法典（草案）》的说明。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color w:val="333333"/>
          <w:sz w:val="32"/>
          <w:szCs w:val="32"/>
        </w:rPr>
      </w:pPr>
      <w:r>
        <w:rPr>
          <w:rStyle w:val="6"/>
          <w:rFonts w:hint="eastAsia" w:ascii="方正黑体_GBK" w:hAnsi="方正黑体_GBK" w:eastAsia="方正黑体_GBK" w:cs="方正黑体_GBK"/>
          <w:b w:val="0"/>
          <w:bCs/>
          <w:i w:val="0"/>
          <w:color w:val="333333"/>
          <w:sz w:val="32"/>
          <w:szCs w:val="32"/>
          <w:shd w:val="clear" w:fill="FFFFFF"/>
        </w:rPr>
        <w:t>一、编纂民法典的重大意义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编纂一部真正属于中国人民的民法典，是新中国几代人的夙愿。党和国家曾于1954年、1962年、1979年和2001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2001年，九届全国人大常委会组织起草了《中华人民共和国民法（草案）》，并于2002年12月进行了一次审议。经讨论和研究，仍确定继续采取分别制定单行法的办法推进我国民事法律制度建设。2003年十届全国人大以来，又陆续制定了物权法、侵权责任法、涉外民事关系法律适用法等。总的看，经过多年来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（一）编纂民法典是坚持和完善中国特色社会主义制度的现实需要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（二）编纂民法典是推进全面依法治国、推进国家治理体系和治理能力现代化的重大举措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（三）编纂民法典是坚持和完善社会主义基本经济制度、推动经济高质量发展的客观要求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（四）编纂民法典是增进人民福祉、维护最广大人民根本利益的必然要求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color w:val="333333"/>
          <w:sz w:val="32"/>
          <w:szCs w:val="32"/>
        </w:rPr>
      </w:pPr>
      <w:r>
        <w:rPr>
          <w:rStyle w:val="6"/>
          <w:rFonts w:hint="eastAsia" w:ascii="方正黑体_GBK" w:hAnsi="方正黑体_GBK" w:eastAsia="方正黑体_GBK" w:cs="方正黑体_GBK"/>
          <w:b w:val="0"/>
          <w:bCs/>
          <w:i w:val="0"/>
          <w:color w:val="333333"/>
          <w:sz w:val="32"/>
          <w:szCs w:val="32"/>
          <w:shd w:val="clear" w:fill="FFFFFF"/>
        </w:rPr>
        <w:t>二、编纂民法典的总体要求和基本原则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民法典是新中国第一部以法典命名的法律，开创了我国法典编纂立法的先河，具有里程碑意义。以习近平同志为核心的党中央高度重视民法典编纂工作，将编纂民法典列入党中央重要工作议程，并对编纂民法典工作任务作出总体部署、提出明确要求。十二届、十三届全国人大常委会都高度重视这一立法工作，将编纂民法典纳入全国人大常委会立法规划和年度立法工作计划，确定为全国人大常委会的立法工作重点项目，积极持续推进。为做好民法典编纂工作，全国人大常委会党组先后多次向党中央请示和报告，就民法典编纂工作的总体考虑、工作步骤、体例结构等重大问题进行汇报。2016年6月、2018年8月、2019年12月，习近平总书记三次主持中央政治局常委会会议，听取并原则同意全国人大常委会党组就民法典编纂工作所作的请示汇报，对民法典编纂工作作出重要指示，为民法典编纂工作提供了重要指导和基本遵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编纂民法典的指导思想是：高举中国特色社会主义伟大旗帜，以马克思列宁主义、毛泽东思想、邓小平理论、“三个代表”重要思想、科学发展观、习近平新时代中国特色社会主义思想为指导，增强“四个意识”，坚定“四个自信”，做到“两个维护”，全面贯彻党的十八大、十九大和有关中央全会精神，坚持党的领导、人民当家作主、依法治国有机统一，紧紧围绕统筹推进“五位一体”总体布局和协调推进“四个全面”战略布局，紧紧围绕建设中国特色社会主义法治体系、建设社会主义法治国家，总结实践经验，适应时代要求，对我国现行的、制定于不同时期的民法通则、物权法、合同法、担保法、婚姻法、收养法、继承法、侵权责任法和人格权方面的民事法律规范进行全面系统的编订纂修，形成一部具有中国特色、体现时代特点、反映人民意愿的民法典，为新时代坚持和完善中国特色社会主义制度、实现“两个一百年”奋斗目标、实现中华民族伟大复兴中国梦提供完备的民事法治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贯彻上述指导思想，切实做好民法典编纂工作，必须遵循和体现以下基本原则：一是坚持正确政治方向，全面贯彻习近平总书记全面依法治国新理念新思想新战略，坚决贯彻党中央的决策部署，坚持服务党和国家工作大局，充分发挥民法典在坚持和完善中国特色社会主义制度、推进国家治理体系和治理能力现代化中的重要作用。二是坚持以人民为中心，以保护民事权利为出发点和落脚点，切实回应人民的法治需求，更好地满足人民日益增长的美好生活需要，充分实现好、维护好、发展好最广大人民的根本利益，使民法典成为新时代保护人民民事权利的好法典。三是坚持立足国情和实际，全面总结我国改革开放40多年来民事立法和实践经验，以法典化方式巩固、确认和发展民事法治建设成果，以实践需求指引立法方向，提高民事法律制度的针对性、有效性、适应性，发挥法治的引领、规范、保障作用。四是坚持依法治国与以德治国相结合，注重将社会主义核心价值观融入民事法律规范，大力弘扬传统美德和社会公德，强化规则意识，倡导契约精神，维护公序良俗。五是坚持科学立法、民主立法、依法立法，不断增强民事法律规范的系统性、完整性，既保持民事法律制度的连续性、稳定性，又保持适度的前瞻性、开放性，同时处理好、衔接好法典化民事法律制度下各类规范之间的关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color w:val="333333"/>
          <w:sz w:val="32"/>
          <w:szCs w:val="32"/>
        </w:rPr>
      </w:pPr>
      <w:r>
        <w:rPr>
          <w:rStyle w:val="6"/>
          <w:rFonts w:hint="eastAsia" w:ascii="方正黑体_GBK" w:hAnsi="方正黑体_GBK" w:eastAsia="方正黑体_GBK" w:cs="方正黑体_GBK"/>
          <w:b w:val="0"/>
          <w:bCs/>
          <w:i w:val="0"/>
          <w:color w:val="333333"/>
          <w:sz w:val="32"/>
          <w:szCs w:val="32"/>
          <w:shd w:val="clear" w:fill="FFFFFF"/>
        </w:rPr>
        <w:t>三、民法典编纂工作情况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根据党中央的工作部署，编纂民法典的起草工作由全国人大常委会法制工作委员会牵头，最高人民法院、最高人民检察院、司法部、中国社会科学院、中国法学会为参加单位。为做好民法典编纂工作，全国人大常委会法制工作委员会与五家参加单位成立了民法典编纂工作协调小组，并成立了民法典编纂工作专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编纂民法典不是制定全新的民事法律，也不是简单的法律汇编，而是对现行的民事法律规范进行编订纂修，对已经不适应现实情况的规定进行修改完善，对经济社会生活中出现的新情况、新问题作出有针对性的新规定。编纂民法典采取“两步走”的工作思路进行：第一步，制定民法总则，作为民法典的总则编；第二步，编纂民法典各分编，经全国人大常委会审议和修改完善后，再与民法总则合并为一部完整的民法典草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2015年3月，全国人大常委会法制工作委员会启动民法典编纂工作，着手第一步的民法总则制定工作，以1986年制定的民法通则为基础，系统梳理总结有关民事法律的实践经验，提炼民事法律制度中具有普遍适用性和引领性的规则，形成民法总则草案，2016年由十二届全国人大常委会进行了三次审议，2017年3月由第十二届全国人民代表大会第五次会议审议通过。制定民法总则，完成了民法典编纂工作的第一步，为民法典编纂奠定了坚实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民法总则通过后，十二届、十三届全国人大常委会接续努力、抓紧开展作为民法典编纂第二步的各分编编纂工作。法制工作委员会与民法典编纂工作各参加单位全力推进民法典各分编编纂工作，系统梳理、研究历年来有关方面提出的意见，开展立法调研，广泛听取意见建议，以现行物权法、合同法、担保法、婚姻法、收养法、继承法、侵权责任法等为基础，结合我国经济社会发展对民事法律提出的新需求，形成了包括物权、合同、人格权、婚姻家庭、继承、侵权责任等6个分编在内的民法典各分编草案，提请2018年8月召开的第十三届全国人大常委会第五次会议审议。其后，2018年12月、2019年4月、6月、8月、10月，第十三届全国人大常委会第七次、第十次、第十一次、第十二次、第十四次会议对民法典各分编草案进行了拆分审议，对全部6个分编草案进行了二审，对各方面比较关注的人格权、婚姻家庭、侵权责任3个分编草案进行了三审。在此基础上，将民法总则与经过常委会审议和修改完善的民法典各分编草案合并，形成《中华人民共和国民法典（草案）》，提请2019年12月召开的第十三届全国人大常委会第十五次会议审议。经审议，全国人大常委会作出决定，将民法典草案提请本次大会审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民法典草案经全国人大常委会审议后，全国人大常委会办公厅将草案印发十三届全国人大代表、部署组织全国人大代表研读讨论民法典草案工作，征求代表意见。同时，法制工作委员会还将草案印发地方人大、基层立法联系点、中央有关部门征求意见，并在中国人大网公布征求社会公众意见。法制工作委员会还在北京召开多个座谈会，听取有关部门、专家的意见。各方面普遍认为，编纂民法典，对于完善中国特色社会主义法律体系，以法治方式推进国家治理体系和治理能力现代化，切实维护最广大人民的根本利益，促进社会公平正义具有重要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新冠肺炎疫情发生以来，全国人大常委会高度关注，栗战书委员长多次就贯彻落实习近平总书记对疫情防控工作的重要讲话精神和党中央决策部署，为疫情防控工作提供法治保障提出明确的工作要求。我们认真学习贯彻习近平总书记重要讲话精神和党中央决策部署，结合民法典编纂工作，对与疫情相关的民事法律制度进行梳理研究，对草案作了有针对性的修改完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2020年4月20日、21日，全国人大宪法和法律委员会召开会议，根据全国人大常委会的审议意见、代表研读讨论中提出的意见和各方面的意见，对民法典草案作了进一步修改完善；认为经过全国人大常委会多次审议和广泛征求意见，草案充分吸收各方面的意见建议，已经比较成熟，形成了提请本次会议审议的《中华人民共和国民法典（草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为进一步做好会议审议民法典草案的准备工作，更充分听取全国人大代表的意见，4月29日，法制工作委员会将修改后的民法典草案再次发送给各省、自治区、直辖市人大常委会，请各地方以适当方式组织有关全国人大代表研读讨论，听取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color w:val="333333"/>
          <w:sz w:val="32"/>
          <w:szCs w:val="32"/>
        </w:rPr>
      </w:pPr>
      <w:r>
        <w:rPr>
          <w:rStyle w:val="6"/>
          <w:rFonts w:hint="eastAsia" w:ascii="方正黑体_GBK" w:hAnsi="方正黑体_GBK" w:eastAsia="方正黑体_GBK" w:cs="方正黑体_GBK"/>
          <w:b w:val="0"/>
          <w:bCs/>
          <w:i w:val="0"/>
          <w:color w:val="333333"/>
          <w:sz w:val="32"/>
          <w:szCs w:val="32"/>
          <w:shd w:val="clear" w:fill="FFFFFF"/>
        </w:rPr>
        <w:t>四、民法典草案的主要内容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《中华人民共和国民法典（草案）》共7编、1260条，各编依次为总则、物权、合同、人格权、婚姻家庭、继承、侵权责任，以及附则。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（一）总则编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第一编“总则”规定民事活动必须遵循的基本原则和一般性规则，统领民法典各分编。第一编基本保持现行民法总则的结构和内容不变，根据法典编纂体系化要求对个别条款作了文字修改，并将“附则”部分移到民法典草案的最后。第一编共10章、204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基本规定。第一编第一章规定了民法典的立法目的和依据。其中，将“弘扬社会主义核心价值观”作为一项重要的立法目的，体现坚持依法治国与以德治国相结合的鲜明中国特色（草案第一条）。同时，规定了民事权利及其他合法权益受法律保护，确立了平等、自愿、公平、诚信、守法和公序良俗等民法基本原则（草案第四条至第八条）。为贯彻习近平生态文明思想，将绿色原则确立为民法的基本原则，规定民事主体从事民事活动，应当有利于节约资源、保护生态环境（草案第九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民事主体。民事主体是民事关系的参与者、民事权利的享有者、民事义务的履行者和民事责任的承担者，具体包括三类：一是自然人。自然人是最基本的民事主体。草案规定了自然人的民事权利能力和民事行为能力制度、监护制度、宣告失踪和宣告死亡制度，并对个体工商户和农村承包经营户作了规定（草案第一编第二章）。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草案第三十四条第四款）。二是法人。法人是依法成立的，具有民事权利能力和民事行为能力，依法独立享有民事权利和承担民事义务的组织。草案规定了法人的定义、成立原则和条件、住所等一般规定，并对营利法人、非营利法人、特别法人三类法人分别作了具体规定（草案第一编第三章）。三是非法人组织。非法人组织是不具有法人资格，但是能够依法以自己的名义从事民事活动的组织。草案对非法人组织的设立、责任承担、解散、清算等作了规定（草案第一编第四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民事权利。保护民事权利是民事立法的重要任务。第一编第五章规定了民事权利制度，包括各种人身权利和财产权利。为建设创新型国家，草案对知识产权作了概括性规定，以统领各个单行的知识产权法律（草案第一百二十三条）。同时，对数据、网络虚拟财产的保护作了原则性规定（草案第一百二十七条）。此外，还规定了民事权利的取得和行使规则等内容（草案第一百二十九条至第一百三十二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草案第一编第六章第一节）。二是对意思表示的生效、方式、撤回和解释等作了规定（草案第一编第六章第二节）。三是规定民事法律行为的效力制度（草案第一编第六章第三节）。四是规定了代理的适用范围、效力、类型等代理制度的内容（草案第一编第七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草案第一编第八章）。二是规定了诉讼时效的期间及其起算、法律效果，诉讼时效的中止、中断等内容（草案第一编第九章）。三是规定了期间的计算单位、起算、结束和顺延等（草案第一编第十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（二）物权编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物权是民事主体依法享有的重要财产权。物权法律制度调整因物的归属和利用而产生的民事关系，是最重要的民事基本制度之一。2007年第十届全国人民代表大会第五次会议通过了物权法。草案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草案将有关基本经济制度的规定修改为：“国家坚持和完善公有制为主体、多种所有制经济共同发展，按劳分配为主体、多种分配方式并存，社会主义市场经济体制等社会主义基本经济制度。”（草案第二百零六条第一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草案第二百七十七条第二款）。二是适当降低业主共同决定事项，特别是使用建筑物及其附属设施维修资金的表决门槛，并增加规定紧急情况下使用维修资金的特别程序（草案第二百七十八条、第二百八十一条第二款）。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草案第二百四十五条、第二百八十五条第二款、第二百八十六条第一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用益物权。用益物权是指权利人依法对他人的物享有占有、使用和收益的权利。第三分编规定了用益物权制度，明确了用益物权人的基本权利和义务，以及建设用地使用权、宅基地使用权、地役权等用益物权。草案还在现行物权法规定的基础上，作了进一步完善：一是落实党中央关于完善产权保护制度依法保护产权的要求，明确住宅建设用地使用权期限届满的，自动续期；续期费用的缴纳或者减免，依照法律、行政法规的规定办理（草案第三百五十九条第一款）。二是完善农村集体产权相关制度，落实农村承包地“三权分置”改革的要求，对土地承包经营权的相关规定作了完善，增加土地经营权的规定，并删除耕地使用权不得抵押的规定，以适应“三权分置”后土地经营权入市的需要（草案第二编第十一章、第三百九十九条）。考虑到农村集体建设用地和宅基地制度改革正在推进过程中，草案与土地管理法等作了衔接性规定（草案第三百六十一条、第三百六十三条）。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草案第二编第十四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担保物权。担保物权是指为了确保债务履行而设立的物权，包括抵押权、质权和留置权。第四分编对担保物权作了规定，明确了担保物权的含义、适用范围、担保范围等共同规则，以及抵押权、质权和留置权的具体规则。草案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草案第三百八十八条第一款）。二是删除有关担保物权具体登记机构的规定，为建立统一的动产抵押和权利质押登记制度留下空间。三是简化抵押合同和质押合同的一般条款（草案第四百条第二款、第四百二十七条第二款）。四是明确实现担保物权的统一受偿规则（草案第四百一十四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5.关于占有。占有是指对不动产或者动产事实上的控制与支配。第五分编对占有的调整范围、无权占有情形下的损害赔偿责任、原物及孳息的返还以及占有保护等作了规定（草案第二编第二十章）。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（三）合同编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合同制度是市场经济的基本法律制度。1999年第九届全国人民代表大会第二次会议通过了合同法。草案第三编“合同”在现行合同法的基础上，贯彻全面深化改革的精神，坚持维护契约、平等交换、公平竞争，促进商品和要素自由流动，完善合同制度。第三编共3个分编、29章、526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草案第四百六十八条、第五百一十七条至第五百二十一条）。二是完善了电子合同订立规则，增加了预约合同的具体规定，完善了格式条款制度等合同订立制度（草案第四百九十一条、第四百九十五条至第四百九十八条）。三是结合新冠肺炎疫情防控工作，完善国家订货合同制度，规定国家根据抢险救灾、疫情防控或者其他需要下达国家订货任务、指令性计划的，有关民事主体之间应当依照有关法律、行政法规规定的权利和义务订立合同（草案第四百九十四条第一款）。四是针对实践中一方当事人违反义务不办理报批手续影响合同生效的问题，草案明确了当事人违反报批义务的法律后果，健全合同效力制度（草案第五百零二条第二款）。五是完善合同履行制度，落实绿色原则，规定当事人在履行合同过程中应当避免浪费资源、污染环境和破坏生态（草案第五百零九条第三款）。同时，在总结司法实践经验的基础上增加规定了情势变更制度（草案第五百三十三条）。六是完善代位权、撤销权等合同保全制度，进一步强化对债权人的保护，细化了债权转让、债务移转制度，增加了债务清偿抵充规则、完善了合同解除等合同终止制度（草案第三编第五章、第五百四十五条至第五百五十六条、第五百六十条、第五百六十三条至第五百六十六条）。七是通过吸收现行担保法有关定金规则的规定，完善违约责任制度（草案第五百八十六条至第五百八十八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草案第三编第十三章）。二是适应我国保理行业发展和优化营商环境的需要，增加了保理合同（草案第三编第十六章）。三是针对物业服务领域的突出问题，增加规定了物业服务合同（草案第三编第二十四章）。四是增加规定合伙合同，将民法通则中有关个人合伙的规定纳入其中（草案第三编第二十七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第三编还在总结现行合同法实践经验的基础上，完善了其他典型合同：一是通过完善检验期限的规定和所有权保留规则等完善买卖合同（草案第六百二十二条、第六百二十三条、第六百四十一条至第六百四十三条）。二是为维护正常的金融秩序，明确规定禁止高利放贷，借款的利率不得违反国家有关规定（草案第六百八十条第一款）。三是落实党中央提出的建立租购同权住房制度的要求，保护承租人利益，增加规定房屋承租人的优先承租权（草案第七百三十四条第二款）。四是针对近年来客运合同领域出现的旅客霸座、不配合承运人采取安全运输措施等严重干扰运输秩序和危害运输安全的问题，维护正常的运输秩序，草案细化了客运合同当事人的权利义务（草案第八百一十五条第一款、第八百一十九条、第八百二十条）。五是根据经济社会发展需要，修改完善了赠与合同、融资租赁合同、建设工程合同、技术合同等典型合同（草案第三编第十一章、第十五章、第十八章、第二十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3.关于准合同。无因管理和不当得利既与合同规则同属债法性质的内容，又与合同规则有所区别，第三分编“准合同”分别对无因管理和不当得利的一般性规则作了规定。（草案第三编第二十八章、第二十九章）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（四）人格权编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人格权是民事主体对其特定的人格利益享有的权利，关系到每个人的人格尊严，是民事主体最基本的权利。草案第四编“人格权”在现行有关法律法规和司法解释的基础上，从民事法律规范的角度规定自然人和其他民事主体人格权的内容、边界和保护方式，不涉及公民政治、社会等方面权利。第四编共6章、51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一般规定。第四编第一章规定了人格权的一般性规则：一是明确人格权的定义（草案第九百九十条）。二是规定民事主体的人格权受法律保护，人格权不得放弃、转让或者继承（草案第九百九十一条、第九百九十二条）。三是规定了对死者人格利益的保护（草案第九百九十四条）。四是明确规定人格权受到侵害后的救济方式（草案第九百九十五条至第一千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生命权、身体权和健康权。第四编第二章规定了生命权、身体权和健康权的具体内容，并对实践中社会比较关注的有关问题作了有针对性的规定：一是为促进医疗卫生事业的发展，鼓励遗体捐献的善行义举，草案吸收行政法规的相关规定，确立器官捐献的基本规则（草案第一千零六条）。二是为规范与人体基因、人体胚胎等有关的医学和科研活动，明确从事此类活动应遵守的规则（草案第一千零九条）。三是近年来，性骚扰问题引起社会较大关注，草案在总结既有立法和司法实践经验的基础上，规定了性骚扰的认定标准，以及机关、企业、学校等单位防止和制止性骚扰的义务（草案第一千零一十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姓名权和名称权。第四编第三章规定了姓名权、名称权的具体内容，并对民事主体尊重保护他人姓名权、名称权的基本义务作了规定：一是对自然人选取姓氏的规则作了规定（草案第一千零一十五条）。二是明确对具有一定社会知名度，被他人使用足以造成公众混淆的笔名、艺名、网名等，参照适用姓名权和名称权保护的有关规定（草案第一千零一十七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草案第一千零一十九条第一款、第一千零二十三条第二款）。二是为了合理平衡保护肖像权与维护公共利益之间的关系，草案结合司法实践，规定肖像权的合理使用规则（草案第一千零二十条）。三是从有利于保护肖像权人利益的角度，对肖像许可使用合同的解释、解除等作了规定（草案第一千零二十一条、第一千零二十二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5.关于名誉权和荣誉权。第四编第五章规定了名誉权和荣誉权的内容：一是为了平衡个人名誉权保护与新闻报道、舆论监督之间的关系，草案对行为人实施新闻报道、舆论监督等行为涉及的民事责任承担，以及行为人是否尽到合理核实义务的认定等作了规定（草案第一千零二十五条、第一千零二十六条）。二是规定民事主体有证据证明报刊、网络等媒体报道的内容失实，侵害其名誉权的，有权请求更正或者删除（草案第一千零二十八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6.关于隐私权和个人信息保护。第四编第六章在现行有关法律规定的基础上，进一步强化对隐私权和个人信息的保护，并为下一步制定个人信息保护法留下空间：一是规定了隐私的定义，列明禁止侵害他人隐私权的具体行为（草案第一千零三十二条、第一千零三十三条）。二是界定了个人信息的定义，明确了处理个人信息应遵循的原则和条件（草案第一千零三十四条、第一千零三十五条）。三是构建自然人与信息处理者之间的基本权利义务框架，明确处理个人信息不承担责任的特定情形，合理平衡保护个人信息与维护公共利益之间的关系（草案第一千零三十六条至第一千零三十八条）。四是规定国家机关及其工作人员负有保护自然人的隐私和个人信息的义务（草案第一千零三十九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（五）婚姻家庭编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婚姻家庭制度是规范夫妻关系和家庭关系的基本准则。1980年第五届全国人民代表大会第三次会议通过了新的婚姻法，2001年进行了修改。1991年第七届全国人大常委会第二十三次会议通过了收养法，1998年作了修改。草案第五编“婚姻家庭”以现行婚姻法、收养法为基础，在坚持婚姻自由、一夫一妻等基本原则的前提下，结合社会发展需要，修改完善了部分规定，并增加了新的规定。第五编共5章、79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草案第一千零四十三条第一款）。二是为了更好地维护被收养的未成年人的合法权益，将联合国《儿童权利公约》关于儿童利益最大化的原则落实到收养工作中，增加规定了最有利于被收养人的原则（草案第一千零四十四条第一款）。三是界定了亲属、近亲属、家庭成员的范围（草案第一千零四十五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结婚。第五编第二章规定了结婚制度，并在现行婚姻法的基础上，对有关规定作了完善：一是将受胁迫一方请求撤销婚姻的期间起算点由“自结婚登记之日起”修改为“自胁迫行为终止之日起”（草案第一千零五十二条第二款）。二是不再将“患有医学上认为不应当结婚的疾病”作为禁止结婚的情形，并相应增加规定一方隐瞒重大疾病的，另一方可以向人民法院请求撤销婚姻（草案第一千零五十三条）。三是增加规定婚姻无效或者被撤销的，无过错方有权请求损害赔偿（草案第一千零五十四条第二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2003年最高人民法院出台司法解释，对夫妻共同债务的认定作出规定，近年来成为社会关注的热点问题。2018年1月，最高人民法院出台新的司法解释，修改了此前关于夫妻共同债务认定的规定。从新司法解释施行效果看，总体上能够有效平衡各方利益，各方面总体上赞同。因此，草案吸收新司法解释的规定，明确了夫妻共同债务的范围（草案第一千零六十四条）。二是规范亲子关系确认和否认之诉。亲子关系问题涉及家庭稳定和未成年人的保护，作为民事基本法律，草案对此类诉讼进行了规范（草案第一千零七十三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离婚。第五编第四章对离婚制度作出了规定，并在现行婚姻法的基础上，作了进一步完善：一是增加离婚冷静期制度。实践中，轻率离婚的现象增多，不利于婚姻家庭的稳定。为此，草案规定了提交离婚登记申请后三十日的离婚冷静期，在此期间，任何一方可以向登记机关撤回离婚申请（草案第一千零七十七条）。二是针对离婚诉讼中出现的“久调不判”问题，增加规定，经人民法院判决不准离婚后，双方又分居满一年，一方再次提起离婚诉讼的，应当准予离婚（草案第一千零七十九条第五款）。三是关于离婚后子女的抚养，将现行婚姻法规定的“哺乳期内的子女，以随哺乳的母亲抚养为原则”修改为“不满两周岁的子女，以由母亲直接抚养为原则”，以增强可操作性（草案第一千零八十四条第三款）。四是将夫妻采用法定共同财产制的，纳入适用离婚经济补偿的范围，以加强对家庭负担较多义务一方权益的保护（草案第一千零八十八条）。五是将“有其他重大过错”增加规定为离婚损害赔偿的适用情形（草案第一千零九十一条第五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草案第一千零九十三条）。二是与国家计划生育政策的调整相协调，将收养人须无子女的要求修改为收养人无子女或者只有一名子女（草案第一千零九十八条第一项）。三是为进一步强化对被收养人利益的保护，在收养人的条件中增加规定“无不利于被收养人健康成长的违法犯罪记录”，并增加规定民政部门应当依法进行收养评估（草案第一千零九十八条第四项、第一千一百零五条第五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（六）继承编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草案第六编“继承”在现行继承法的基础上，修改完善了继承制度，以满足人民群众处理遗产的现实需要。第六编共4章、45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草案第一千一百二十一条第二款）。二是增加规定对继承人的宽恕制度，对继承权法定丧失制度予以完善（草案第一千一百二十五条第二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草案第一千一百二十八条第二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草案第一千一百三十六条、第一千一百三十七条）。二是修改了遗嘱效力规则，删除了现行继承法关于公证遗嘱效力优先的规定，切实尊重遗嘱人的真实意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遗产的处理。第六编第四章规定了遗产处理的程序和规则，并在现行继承法的基础上，进一步完善了有关遗产处理的制度：一是增加遗产管理人制度。为确保遗产得到妥善管理、顺利分割，更好地维护继承人、债权人利益，草案增加规定了遗产管理人制度，明确了遗产管理人的产生方式、职责和权利等内容（草案第一千一百四十五条至第一千一百四十九条）。二是完善遗赠扶养协议制度，适当扩大扶养人的范围，明确继承人以外的组织或者个人均可以成为扶养人，以满足养老形式多样化需求（草案第一千一百五十八条）。三是完善无人继承遗产的归属制度，明确归国家所有的无人继承遗产应当用于公益事业（草案第一千一百六十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（七）侵权责任编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侵权责任是民事主体侵害他人权益应当承担的法律后果。2009年第十一届全国人大常委会第十二次会议通过了侵权责任法。侵权责任法实施以来，在保护民事主体的合法权益、预防和制裁侵权行为方面发挥了重要作用。草案第七编“侵权责任”在总结实践经验的基础上，针对侵权领域出现的新情况，吸收借鉴司法解释的有关规定，对侵权责任制度作了必要的补充和完善。第七编共10章、95条，主要内容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草案第一千一百七十六条第一款）。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草案第一千一百七十七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草案第一千一百八十三条第二款）。二是为加强对知识产权的保护，提高侵权违法成本，草案增加规定，故意侵害他人知识产权，情节严重的，被侵权人有权请求相应的惩罚性赔偿（草案第一千一百八十五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3.关于责任主体的特殊规定。第七编第三章规定了无民事行为能力人、限制民事行为能力人及其监护人的侵权责任，用人单位的侵权责任，网络侵权责任，以及公共场所的安全保障义务等。同时，草案在现行侵权责任法的基础上作了进一步完善：一是增加规定委托监护的侵权责任（草案第一千一百八十九条）。二是完善网络侵权责任制度。为了更好地保护权利人的利益，平衡好网络用户和网络服务提供者之间的利益，草案细化了网络侵权责任的具体规定，完善了权利人通知规则和网络服务提供者的转通知规则（草案第一千一百九十五条、第一千一百九十六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草案第一千二百零六条第二款）。二是明确交通事故损害赔偿的顺序，即先由机动车强制保险理赔，不足部分由机动车商业保险理赔，仍不足的由侵权人赔偿（草案第一千二百一十三条）。三是进一步保障患者的知情同意权，明确医务人员的相关说明义务，加强医疗机构及其医务人员对患者隐私和个人信息的保护（草案第一千二百一十九条、第一千二百二十六条）。四是贯彻落实习近平生态文明思想，增加规定生态环境损害的惩罚性赔偿制度，并明确规定了生态环境损害的修复和赔偿规则（草案第一千二百三十二条、第一千二百三十四条、第一千二百三十五条）。五是加强生物安全管理，完善高度危险责任，明确占有或者使用高致病性危险物造成他人损害的，应当承担侵权责任（草案第一千二百三十九条）。六是完善高空抛物坠物治理规则。为保障好人民群众的生命财产安全，草案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草案第一千二百五十四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b w:val="0"/>
          <w:i w:val="0"/>
          <w:color w:val="333333"/>
          <w:sz w:val="32"/>
          <w:szCs w:val="32"/>
          <w:shd w:val="clear" w:fill="FFFFFF"/>
        </w:rPr>
        <w:t>（八）附则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b w:val="0"/>
          <w:i w:val="0"/>
          <w:color w:val="333333"/>
          <w:sz w:val="32"/>
          <w:szCs w:val="32"/>
          <w:shd w:val="clear" w:fill="FFFFFF"/>
        </w:rPr>
        <w:t>草案最后部分“附则”明确了民法典与婚姻法、继承法、民法通则、收养法、担保法、合同法、物权法、侵权责任法、民法总则的关系。民法典施行后，上述民事单行法律将被替代。因此，草案规定在民法典施行之时，同步废止上述民事单行法律（草案第一千二百六十条）。需要说明的是，2014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i w:val="0"/>
          <w:color w:val="333333"/>
          <w:sz w:val="32"/>
          <w:szCs w:val="32"/>
          <w:shd w:val="clear" w:fill="FFFFFF"/>
        </w:rPr>
      </w:pPr>
      <w:r>
        <w:rPr>
          <w:rFonts w:hint="eastAsia" w:ascii="方正仿宋_GBK" w:hAnsi="方正仿宋_GBK" w:eastAsia="方正仿宋_GBK" w:cs="方正仿宋_GBK"/>
          <w:b w:val="0"/>
          <w:i w:val="0"/>
          <w:color w:val="333333"/>
          <w:sz w:val="32"/>
          <w:szCs w:val="32"/>
          <w:shd w:val="clear" w:fill="FFFFFF"/>
        </w:rPr>
        <w:t>《中华人民共和国民法典（草案）》和以上说明，请审议。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456FB"/>
    <w:rsid w:val="77B4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rFonts w:asciiTheme="minorHAnsi" w:hAnsiTheme="minorHAnsi" w:eastAsiaTheme="minorEastAsia" w:cstheme="minorBidi"/>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2020-06-09T07:13:00Z</dcterms:created>
  <dc:creator>徐莉</dc:creator>
  <cp:lastModifiedBy>徐莉</cp:lastModifiedBy>
  <dcterms:modified xsi:type="dcterms:W3CDTF">2020-06-09T07:13:25Z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