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797E4E">
      <w:pPr>
        <w:keepNext w:val="0"/>
        <w:keepLines w:val="0"/>
        <w:pageBreakBefore w:val="0"/>
        <w:kinsoku/>
        <w:wordWrap/>
        <w:overflowPunct/>
        <w:topLinePunct w:val="0"/>
        <w:autoSpaceDE/>
        <w:autoSpaceDN/>
        <w:bidi w:val="0"/>
        <w:adjustRightInd w:val="0"/>
        <w:snapToGrid w:val="0"/>
        <w:spacing w:line="560" w:lineRule="exact"/>
        <w:ind w:left="0" w:right="0"/>
        <w:textAlignment w:val="auto"/>
        <w:rPr>
          <w:rFonts w:hint="eastAsia" w:ascii="方正小标宋_GBK" w:hAnsi="方正小标宋_GBK" w:eastAsia="方正小标宋_GBK" w:cs="方正小标宋_GBK"/>
          <w:color w:val="auto"/>
          <w:sz w:val="52"/>
          <w:szCs w:val="52"/>
          <w:lang w:val="en-US" w:eastAsia="zh-CN"/>
        </w:rPr>
        <w:sectPr>
          <w:pgSz w:w="11906" w:h="16838"/>
          <w:pgMar w:top="1440" w:right="1800" w:bottom="1440" w:left="1800" w:header="851" w:footer="992" w:gutter="0"/>
          <w:pgNumType w:fmt="decimal"/>
          <w:cols w:space="425" w:num="1"/>
          <w:docGrid w:type="lines" w:linePitch="312" w:charSpace="0"/>
        </w:sectPr>
      </w:pP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2121535</wp:posOffset>
                </wp:positionH>
                <wp:positionV relativeFrom="paragraph">
                  <wp:posOffset>6719570</wp:posOffset>
                </wp:positionV>
                <wp:extent cx="1348740" cy="47752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348740" cy="4775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8C8272">
                            <w:pPr>
                              <w:jc w:val="distribute"/>
                              <w:rPr>
                                <w:rFonts w:hint="eastAsia" w:ascii="方正仿宋_GBK" w:hAnsi="方正仿宋_GBK" w:eastAsia="方正仿宋_GBK" w:cs="方正仿宋_GBK"/>
                                <w:color w:val="C00000"/>
                                <w:sz w:val="32"/>
                                <w:szCs w:val="32"/>
                                <w:lang w:val="en-US" w:eastAsia="zh-CN"/>
                              </w:rPr>
                            </w:pPr>
                            <w:r>
                              <w:rPr>
                                <w:rFonts w:hint="eastAsia" w:ascii="方正仿宋_GBK" w:hAnsi="方正仿宋_GBK" w:eastAsia="方正仿宋_GBK" w:cs="方正仿宋_GBK"/>
                                <w:color w:val="C00000"/>
                                <w:sz w:val="32"/>
                                <w:szCs w:val="32"/>
                                <w:lang w:val="en-US" w:eastAsia="zh-CN"/>
                              </w:rPr>
                              <w:t>2024年8月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05pt;margin-top:529.1pt;height:37.6pt;width:106.2pt;z-index:251664384;mso-width-relative:page;mso-height-relative:page;" filled="f" stroked="f" coordsize="21600,21600" o:gfxdata="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fk9pdwAAAANAQAADwAAAAAAAAABACAAAAAiAAAA&#10;ZHJzL2Rvd25yZXYueG1sUEsBAhQAFAAAAAgAh07iQG7rj5E8AgAAaAQAAA4AAAAAAAAAAQAgAAAA&#10;KwEAAGRycy9lMm9Eb2MueG1sUEsFBgAAAAAGAAYAWQEAANkFAAAAAA==&#10;">
                <v:fill on="f" focussize="0,0"/>
                <v:stroke on="f" weight="0.5pt"/>
                <v:imagedata o:title=""/>
                <o:lock v:ext="edit" aspectratio="f"/>
                <v:textbox>
                  <w:txbxContent>
                    <w:p w14:paraId="108C8272">
                      <w:pPr>
                        <w:jc w:val="distribute"/>
                        <w:rPr>
                          <w:rFonts w:hint="eastAsia" w:ascii="方正仿宋_GBK" w:hAnsi="方正仿宋_GBK" w:eastAsia="方正仿宋_GBK" w:cs="方正仿宋_GBK"/>
                          <w:color w:val="C00000"/>
                          <w:sz w:val="32"/>
                          <w:szCs w:val="32"/>
                          <w:lang w:val="en-US" w:eastAsia="zh-CN"/>
                        </w:rPr>
                      </w:pPr>
                      <w:r>
                        <w:rPr>
                          <w:rFonts w:hint="eastAsia" w:ascii="方正仿宋_GBK" w:hAnsi="方正仿宋_GBK" w:eastAsia="方正仿宋_GBK" w:cs="方正仿宋_GBK"/>
                          <w:color w:val="C00000"/>
                          <w:sz w:val="32"/>
                          <w:szCs w:val="32"/>
                          <w:lang w:val="en-US" w:eastAsia="zh-CN"/>
                        </w:rPr>
                        <w:t>2024年8月</w:t>
                      </w:r>
                    </w:p>
                  </w:txbxContent>
                </v:textbox>
              </v:shape>
            </w:pict>
          </mc:Fallback>
        </mc:AlternateContent>
      </w:r>
      <w:r>
        <w:rPr>
          <w:color w:val="auto"/>
          <w:sz w:val="21"/>
        </w:rPr>
        <mc:AlternateContent>
          <mc:Choice Requires="wps">
            <w:drawing>
              <wp:anchor distT="0" distB="0" distL="114300" distR="114300" simplePos="0" relativeHeight="251663360" behindDoc="0" locked="0" layoutInCell="1" allowOverlap="1">
                <wp:simplePos x="0" y="0"/>
                <wp:positionH relativeFrom="column">
                  <wp:posOffset>604520</wp:posOffset>
                </wp:positionH>
                <wp:positionV relativeFrom="paragraph">
                  <wp:posOffset>6093460</wp:posOffset>
                </wp:positionV>
                <wp:extent cx="4364355" cy="67881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4364355" cy="678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F5CD46">
                            <w:pPr>
                              <w:jc w:val="distribute"/>
                              <w:rPr>
                                <w:rFonts w:hint="eastAsia" w:ascii="方正仿宋_GBK" w:hAnsi="方正仿宋_GBK" w:eastAsia="方正仿宋_GBK" w:cs="方正仿宋_GBK"/>
                                <w:color w:val="C00000"/>
                                <w:sz w:val="40"/>
                                <w:szCs w:val="48"/>
                                <w:lang w:val="en-US" w:eastAsia="zh-CN"/>
                              </w:rPr>
                            </w:pPr>
                            <w:r>
                              <w:rPr>
                                <w:rFonts w:hint="eastAsia" w:ascii="方正仿宋_GBK" w:hAnsi="方正仿宋_GBK" w:eastAsia="方正仿宋_GBK" w:cs="方正仿宋_GBK"/>
                                <w:color w:val="C00000"/>
                                <w:sz w:val="40"/>
                                <w:szCs w:val="48"/>
                                <w:lang w:val="en-US" w:eastAsia="zh-CN"/>
                              </w:rPr>
                              <w:t>重庆幼儿师专党委组织宣传部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6pt;margin-top:479.8pt;height:53.45pt;width:343.65pt;z-index:251663360;mso-width-relative:page;mso-height-relative:page;" filled="f" stroked="f" coordsize="21600,21600" o:gfxdata="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u2Yq9sAAAALAQAADwAAAAAAAAABACAAAAAiAAAA&#10;ZHJzL2Rvd25yZXYueG1sUEsBAhQAFAAAAAgAh07iQON+WHQ9AgAAaAQAAA4AAAAAAAAAAQAgAAAA&#10;KgEAAGRycy9lMm9Eb2MueG1sUEsFBgAAAAAGAAYAWQEAANkFAAAAAA==&#10;">
                <v:fill on="f" focussize="0,0"/>
                <v:stroke on="f" weight="0.5pt"/>
                <v:imagedata o:title=""/>
                <o:lock v:ext="edit" aspectratio="f"/>
                <v:textbox>
                  <w:txbxContent>
                    <w:p w14:paraId="49F5CD46">
                      <w:pPr>
                        <w:jc w:val="distribute"/>
                        <w:rPr>
                          <w:rFonts w:hint="eastAsia" w:ascii="方正仿宋_GBK" w:hAnsi="方正仿宋_GBK" w:eastAsia="方正仿宋_GBK" w:cs="方正仿宋_GBK"/>
                          <w:color w:val="C00000"/>
                          <w:sz w:val="40"/>
                          <w:szCs w:val="48"/>
                          <w:lang w:val="en-US" w:eastAsia="zh-CN"/>
                        </w:rPr>
                      </w:pPr>
                      <w:r>
                        <w:rPr>
                          <w:rFonts w:hint="eastAsia" w:ascii="方正仿宋_GBK" w:hAnsi="方正仿宋_GBK" w:eastAsia="方正仿宋_GBK" w:cs="方正仿宋_GBK"/>
                          <w:color w:val="C00000"/>
                          <w:sz w:val="40"/>
                          <w:szCs w:val="48"/>
                          <w:lang w:val="en-US" w:eastAsia="zh-CN"/>
                        </w:rPr>
                        <w:t>重庆幼儿师专党委组织宣传部</w:t>
                      </w:r>
                    </w:p>
                  </w:txbxContent>
                </v:textbox>
              </v:shape>
            </w:pict>
          </mc:Fallback>
        </mc:AlternateContent>
      </w:r>
      <w:r>
        <w:rPr>
          <w:color w:val="auto"/>
          <w:sz w:val="21"/>
        </w:rPr>
        <w:drawing>
          <wp:anchor distT="0" distB="0" distL="114300" distR="114300" simplePos="0" relativeHeight="251661312" behindDoc="0" locked="0" layoutInCell="1" allowOverlap="1">
            <wp:simplePos x="0" y="0"/>
            <wp:positionH relativeFrom="column">
              <wp:posOffset>-1164590</wp:posOffset>
            </wp:positionH>
            <wp:positionV relativeFrom="paragraph">
              <wp:posOffset>-935355</wp:posOffset>
            </wp:positionV>
            <wp:extent cx="7606665" cy="10781030"/>
            <wp:effectExtent l="0" t="0" r="13335" b="8890"/>
            <wp:wrapNone/>
            <wp:docPr id="32" name="图片 32"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22"/>
                    <pic:cNvPicPr>
                      <a:picLocks noChangeAspect="1"/>
                    </pic:cNvPicPr>
                  </pic:nvPicPr>
                  <pic:blipFill>
                    <a:blip r:embed="rId8"/>
                    <a:stretch>
                      <a:fillRect/>
                    </a:stretch>
                  </pic:blipFill>
                  <pic:spPr>
                    <a:xfrm>
                      <a:off x="0" y="0"/>
                      <a:ext cx="7606665" cy="10781030"/>
                    </a:xfrm>
                    <a:prstGeom prst="rect">
                      <a:avLst/>
                    </a:prstGeom>
                  </pic:spPr>
                </pic:pic>
              </a:graphicData>
            </a:graphic>
          </wp:anchor>
        </w:drawing>
      </w:r>
    </w:p>
    <w:p w14:paraId="1B178231">
      <w:pPr>
        <w:pStyle w:val="6"/>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ind w:left="0"/>
        <w:jc w:val="center"/>
        <w:textAlignment w:val="auto"/>
        <w:rPr>
          <w:rFonts w:hint="eastAsia" w:ascii="方正小标宋_GBK" w:hAnsi="方正小标宋_GBK" w:eastAsia="方正小标宋_GBK" w:cs="方正小标宋_GBK"/>
          <w:color w:val="auto"/>
          <w:sz w:val="44"/>
          <w:szCs w:val="44"/>
          <w:lang w:val="en-US" w:eastAsia="zh-CN"/>
        </w:rPr>
      </w:pPr>
      <w:r>
        <w:rPr>
          <w:rFonts w:hint="eastAsia" w:ascii="方正小标宋_GBK" w:hAnsi="方正小标宋_GBK" w:eastAsia="方正小标宋_GBK" w:cs="方正小标宋_GBK"/>
          <w:color w:val="auto"/>
          <w:sz w:val="44"/>
          <w:szCs w:val="44"/>
          <w:lang w:val="en-US" w:eastAsia="zh-CN"/>
        </w:rPr>
        <w:t>目  录</w:t>
      </w:r>
    </w:p>
    <w:p w14:paraId="53230DE2">
      <w:pPr>
        <w:pStyle w:val="6"/>
        <w:keepNext w:val="0"/>
        <w:keepLines w:val="0"/>
        <w:pageBreakBefore w:val="0"/>
        <w:tabs>
          <w:tab w:val="right" w:leader="dot" w:pos="8306"/>
        </w:tabs>
        <w:overflowPunct/>
        <w:topLinePunct w:val="0"/>
        <w:bidi w:val="0"/>
        <w:adjustRightInd w:val="0"/>
        <w:snapToGrid w:val="0"/>
        <w:spacing w:line="560" w:lineRule="exact"/>
        <w:ind w:left="0"/>
        <w:rPr>
          <w:rFonts w:hint="eastAsia" w:ascii="方正仿宋_GBK" w:hAnsi="方正仿宋_GBK" w:eastAsia="方正仿宋_GBK" w:cs="方正仿宋_GBK"/>
          <w:color w:val="auto"/>
          <w:sz w:val="28"/>
          <w:szCs w:val="28"/>
          <w:lang w:val="en-US" w:eastAsia="zh-CN"/>
        </w:rPr>
      </w:pPr>
    </w:p>
    <w:p w14:paraId="7B6445CE">
      <w:pPr>
        <w:pStyle w:val="6"/>
        <w:tabs>
          <w:tab w:val="right" w:leader="dot" w:pos="8306"/>
        </w:tabs>
        <w:rPr>
          <w:sz w:val="24"/>
          <w:szCs w:val="24"/>
        </w:rPr>
      </w:pPr>
      <w:r>
        <w:rPr>
          <w:rFonts w:hint="eastAsia" w:ascii="方正仿宋_GBK" w:hAnsi="方正仿宋_GBK" w:eastAsia="方正仿宋_GBK" w:cs="方正仿宋_GBK"/>
          <w:color w:val="auto"/>
          <w:sz w:val="24"/>
          <w:szCs w:val="24"/>
          <w:lang w:val="en-US" w:eastAsia="zh-CN"/>
        </w:rPr>
        <w:fldChar w:fldCharType="begin"/>
      </w:r>
      <w:r>
        <w:rPr>
          <w:rFonts w:hint="eastAsia" w:ascii="方正仿宋_GBK" w:hAnsi="方正仿宋_GBK" w:eastAsia="方正仿宋_GBK" w:cs="方正仿宋_GBK"/>
          <w:color w:val="auto"/>
          <w:sz w:val="24"/>
          <w:szCs w:val="24"/>
          <w:lang w:val="en-US" w:eastAsia="zh-CN"/>
        </w:rPr>
        <w:instrText xml:space="preserve">TOC \o "1-1" \h \u </w:instrText>
      </w:r>
      <w:r>
        <w:rPr>
          <w:rFonts w:hint="eastAsia" w:ascii="方正仿宋_GBK" w:hAnsi="方正仿宋_GBK" w:eastAsia="方正仿宋_GBK" w:cs="方正仿宋_GBK"/>
          <w:color w:val="auto"/>
          <w:sz w:val="24"/>
          <w:szCs w:val="24"/>
          <w:lang w:val="en-US" w:eastAsia="zh-CN"/>
        </w:rPr>
        <w:fldChar w:fldCharType="separate"/>
      </w:r>
      <w:r>
        <w:rPr>
          <w:rFonts w:hint="eastAsia" w:ascii="方正仿宋_GBK" w:hAnsi="方正仿宋_GBK" w:eastAsia="方正仿宋_GBK" w:cs="方正仿宋_GBK"/>
          <w:color w:val="auto"/>
          <w:sz w:val="24"/>
          <w:szCs w:val="24"/>
          <w:lang w:val="en-US" w:eastAsia="zh-CN"/>
        </w:rPr>
        <w:fldChar w:fldCharType="begin"/>
      </w:r>
      <w:r>
        <w:rPr>
          <w:rFonts w:hint="eastAsia" w:ascii="方正仿宋_GBK" w:hAnsi="方正仿宋_GBK" w:eastAsia="方正仿宋_GBK" w:cs="方正仿宋_GBK"/>
          <w:sz w:val="24"/>
          <w:szCs w:val="24"/>
          <w:lang w:val="en-US" w:eastAsia="zh-CN"/>
        </w:rPr>
        <w:instrText xml:space="preserve"> HYPERLINK \l _Toc4187 </w:instrText>
      </w:r>
      <w:r>
        <w:rPr>
          <w:rFonts w:hint="eastAsia" w:ascii="方正仿宋_GBK" w:hAnsi="方正仿宋_GBK" w:eastAsia="方正仿宋_GBK" w:cs="方正仿宋_GBK"/>
          <w:sz w:val="24"/>
          <w:szCs w:val="24"/>
          <w:lang w:val="en-US" w:eastAsia="zh-CN"/>
        </w:rPr>
        <w:fldChar w:fldCharType="separate"/>
      </w:r>
      <w:r>
        <w:rPr>
          <w:rFonts w:hint="eastAsia" w:ascii="方正小标宋_GBK" w:hAnsi="方正小标宋_GBK" w:eastAsia="方正小标宋_GBK" w:cs="方正小标宋_GBK"/>
          <w:sz w:val="24"/>
          <w:szCs w:val="24"/>
          <w:lang w:val="en-US" w:eastAsia="zh-CN"/>
        </w:rPr>
        <w:t>学习内容一：</w:t>
      </w:r>
      <w:r>
        <w:rPr>
          <w:rFonts w:hint="eastAsia" w:ascii="方正仿宋_GBK" w:hAnsi="方正仿宋_GBK" w:eastAsia="方正仿宋_GBK" w:cs="方正仿宋_GBK"/>
          <w:color w:val="auto"/>
          <w:sz w:val="24"/>
          <w:szCs w:val="24"/>
          <w:lang w:val="en-US" w:eastAsia="zh-CN"/>
        </w:rPr>
        <w:fldChar w:fldCharType="end"/>
      </w:r>
      <w:r>
        <w:rPr>
          <w:rFonts w:hint="eastAsia" w:ascii="方正仿宋_GBK" w:hAnsi="方正仿宋_GBK" w:eastAsia="方正仿宋_GBK" w:cs="方正仿宋_GBK"/>
          <w:color w:val="auto"/>
          <w:sz w:val="24"/>
          <w:szCs w:val="24"/>
          <w:lang w:val="en-US" w:eastAsia="zh-CN"/>
        </w:rPr>
        <w:fldChar w:fldCharType="begin"/>
      </w:r>
      <w:r>
        <w:rPr>
          <w:rFonts w:hint="eastAsia" w:ascii="方正仿宋_GBK" w:hAnsi="方正仿宋_GBK" w:eastAsia="方正仿宋_GBK" w:cs="方正仿宋_GBK"/>
          <w:sz w:val="24"/>
          <w:szCs w:val="24"/>
          <w:lang w:val="en-US" w:eastAsia="zh-CN"/>
        </w:rPr>
        <w:instrText xml:space="preserve"> HYPERLINK \l _Toc22305 </w:instrText>
      </w:r>
      <w:r>
        <w:rPr>
          <w:rFonts w:hint="eastAsia" w:ascii="方正仿宋_GBK" w:hAnsi="方正仿宋_GBK" w:eastAsia="方正仿宋_GBK" w:cs="方正仿宋_GBK"/>
          <w:sz w:val="24"/>
          <w:szCs w:val="24"/>
          <w:lang w:val="en-US" w:eastAsia="zh-CN"/>
        </w:rPr>
        <w:fldChar w:fldCharType="separate"/>
      </w:r>
      <w:r>
        <w:rPr>
          <w:rFonts w:hint="eastAsia" w:ascii="方正小标宋_GBK" w:hAnsi="方正小标宋_GBK" w:eastAsia="方正小标宋_GBK" w:cs="方正小标宋_GBK"/>
          <w:sz w:val="24"/>
          <w:szCs w:val="24"/>
          <w:lang w:val="en-US" w:eastAsia="zh-CN"/>
        </w:rPr>
        <w:t>中国共产党第二十届中央委员会第三次全体会议公报</w:t>
      </w:r>
      <w:r>
        <w:rPr>
          <w:sz w:val="24"/>
          <w:szCs w:val="24"/>
        </w:rPr>
        <w:tab/>
      </w:r>
      <w:r>
        <w:rPr>
          <w:sz w:val="24"/>
          <w:szCs w:val="24"/>
        </w:rPr>
        <w:fldChar w:fldCharType="begin"/>
      </w:r>
      <w:r>
        <w:rPr>
          <w:sz w:val="24"/>
          <w:szCs w:val="24"/>
        </w:rPr>
        <w:instrText xml:space="preserve"> PAGEREF _Toc22305 \h </w:instrText>
      </w:r>
      <w:r>
        <w:rPr>
          <w:sz w:val="24"/>
          <w:szCs w:val="24"/>
        </w:rPr>
        <w:fldChar w:fldCharType="separate"/>
      </w:r>
      <w:r>
        <w:rPr>
          <w:sz w:val="24"/>
          <w:szCs w:val="24"/>
        </w:rPr>
        <w:t>1</w:t>
      </w:r>
      <w:r>
        <w:rPr>
          <w:sz w:val="24"/>
          <w:szCs w:val="24"/>
        </w:rPr>
        <w:fldChar w:fldCharType="end"/>
      </w:r>
      <w:r>
        <w:rPr>
          <w:rFonts w:hint="eastAsia" w:ascii="方正仿宋_GBK" w:hAnsi="方正仿宋_GBK" w:eastAsia="方正仿宋_GBK" w:cs="方正仿宋_GBK"/>
          <w:color w:val="auto"/>
          <w:sz w:val="24"/>
          <w:szCs w:val="24"/>
          <w:lang w:val="en-US" w:eastAsia="zh-CN"/>
        </w:rPr>
        <w:fldChar w:fldCharType="end"/>
      </w:r>
    </w:p>
    <w:p w14:paraId="7B6AF521">
      <w:pPr>
        <w:pStyle w:val="6"/>
        <w:tabs>
          <w:tab w:val="right" w:leader="dot" w:pos="8306"/>
        </w:tabs>
        <w:rPr>
          <w:sz w:val="24"/>
          <w:szCs w:val="24"/>
        </w:rPr>
      </w:pPr>
      <w:r>
        <w:rPr>
          <w:rFonts w:hint="eastAsia" w:ascii="方正仿宋_GBK" w:hAnsi="方正仿宋_GBK" w:eastAsia="方正仿宋_GBK" w:cs="方正仿宋_GBK"/>
          <w:color w:val="auto"/>
          <w:sz w:val="24"/>
          <w:szCs w:val="24"/>
          <w:lang w:val="en-US" w:eastAsia="zh-CN"/>
        </w:rPr>
        <w:fldChar w:fldCharType="begin"/>
      </w:r>
      <w:r>
        <w:rPr>
          <w:rFonts w:hint="eastAsia" w:ascii="方正仿宋_GBK" w:hAnsi="方正仿宋_GBK" w:eastAsia="方正仿宋_GBK" w:cs="方正仿宋_GBK"/>
          <w:sz w:val="24"/>
          <w:szCs w:val="24"/>
          <w:lang w:val="en-US" w:eastAsia="zh-CN"/>
        </w:rPr>
        <w:instrText xml:space="preserve"> HYPERLINK \l _Toc23764 </w:instrText>
      </w:r>
      <w:r>
        <w:rPr>
          <w:rFonts w:hint="eastAsia" w:ascii="方正仿宋_GBK" w:hAnsi="方正仿宋_GBK" w:eastAsia="方正仿宋_GBK" w:cs="方正仿宋_GBK"/>
          <w:sz w:val="24"/>
          <w:szCs w:val="24"/>
          <w:lang w:val="en-US" w:eastAsia="zh-CN"/>
        </w:rPr>
        <w:fldChar w:fldCharType="separate"/>
      </w:r>
      <w:r>
        <w:rPr>
          <w:rFonts w:hint="eastAsia" w:ascii="方正小标宋_GBK" w:hAnsi="方正小标宋_GBK" w:eastAsia="方正小标宋_GBK" w:cs="方正小标宋_GBK"/>
          <w:sz w:val="24"/>
          <w:szCs w:val="24"/>
          <w:lang w:val="en-US" w:eastAsia="zh-CN"/>
        </w:rPr>
        <w:t>学习内容二：</w:t>
      </w:r>
      <w:r>
        <w:rPr>
          <w:rFonts w:hint="eastAsia" w:ascii="方正仿宋_GBK" w:hAnsi="方正仿宋_GBK" w:eastAsia="方正仿宋_GBK" w:cs="方正仿宋_GBK"/>
          <w:color w:val="auto"/>
          <w:sz w:val="24"/>
          <w:szCs w:val="24"/>
          <w:lang w:val="en-US" w:eastAsia="zh-CN"/>
        </w:rPr>
        <w:fldChar w:fldCharType="end"/>
      </w:r>
      <w:r>
        <w:rPr>
          <w:rFonts w:hint="eastAsia" w:ascii="方正仿宋_GBK" w:hAnsi="方正仿宋_GBK" w:eastAsia="方正仿宋_GBK" w:cs="方正仿宋_GBK"/>
          <w:color w:val="auto"/>
          <w:sz w:val="24"/>
          <w:szCs w:val="24"/>
          <w:lang w:val="en-US" w:eastAsia="zh-CN"/>
        </w:rPr>
        <w:fldChar w:fldCharType="begin"/>
      </w:r>
      <w:r>
        <w:rPr>
          <w:rFonts w:hint="eastAsia" w:ascii="方正仿宋_GBK" w:hAnsi="方正仿宋_GBK" w:eastAsia="方正仿宋_GBK" w:cs="方正仿宋_GBK"/>
          <w:sz w:val="24"/>
          <w:szCs w:val="24"/>
          <w:lang w:val="en-US" w:eastAsia="zh-CN"/>
        </w:rPr>
        <w:instrText xml:space="preserve"> HYPERLINK \l _Toc21573 </w:instrText>
      </w:r>
      <w:r>
        <w:rPr>
          <w:rFonts w:hint="eastAsia" w:ascii="方正仿宋_GBK" w:hAnsi="方正仿宋_GBK" w:eastAsia="方正仿宋_GBK" w:cs="方正仿宋_GBK"/>
          <w:sz w:val="24"/>
          <w:szCs w:val="24"/>
          <w:lang w:val="en-US" w:eastAsia="zh-CN"/>
        </w:rPr>
        <w:fldChar w:fldCharType="separate"/>
      </w:r>
      <w:r>
        <w:rPr>
          <w:rFonts w:hint="eastAsia" w:ascii="方正小标宋_GBK" w:hAnsi="方正小标宋_GBK" w:eastAsia="方正小标宋_GBK" w:cs="方正小标宋_GBK"/>
          <w:sz w:val="24"/>
          <w:szCs w:val="24"/>
          <w:lang w:val="en-US" w:eastAsia="zh-CN"/>
        </w:rPr>
        <w:t>中共中央关于进一步全面深化改革 推进中国式现代化的决定</w:t>
      </w:r>
      <w:r>
        <w:rPr>
          <w:sz w:val="24"/>
          <w:szCs w:val="24"/>
        </w:rPr>
        <w:tab/>
      </w:r>
      <w:r>
        <w:rPr>
          <w:sz w:val="24"/>
          <w:szCs w:val="24"/>
        </w:rPr>
        <w:fldChar w:fldCharType="begin"/>
      </w:r>
      <w:r>
        <w:rPr>
          <w:sz w:val="24"/>
          <w:szCs w:val="24"/>
        </w:rPr>
        <w:instrText xml:space="preserve"> PAGEREF _Toc21573 \h </w:instrText>
      </w:r>
      <w:r>
        <w:rPr>
          <w:sz w:val="24"/>
          <w:szCs w:val="24"/>
        </w:rPr>
        <w:fldChar w:fldCharType="separate"/>
      </w:r>
      <w:r>
        <w:rPr>
          <w:sz w:val="24"/>
          <w:szCs w:val="24"/>
        </w:rPr>
        <w:t>10</w:t>
      </w:r>
      <w:r>
        <w:rPr>
          <w:sz w:val="24"/>
          <w:szCs w:val="24"/>
        </w:rPr>
        <w:fldChar w:fldCharType="end"/>
      </w:r>
      <w:r>
        <w:rPr>
          <w:rFonts w:hint="eastAsia" w:ascii="方正仿宋_GBK" w:hAnsi="方正仿宋_GBK" w:eastAsia="方正仿宋_GBK" w:cs="方正仿宋_GBK"/>
          <w:color w:val="auto"/>
          <w:sz w:val="24"/>
          <w:szCs w:val="24"/>
          <w:lang w:val="en-US" w:eastAsia="zh-CN"/>
        </w:rPr>
        <w:fldChar w:fldCharType="end"/>
      </w:r>
    </w:p>
    <w:p w14:paraId="12B4CFF2">
      <w:pPr>
        <w:pStyle w:val="6"/>
        <w:tabs>
          <w:tab w:val="right" w:leader="dot" w:pos="8306"/>
        </w:tabs>
        <w:rPr>
          <w:sz w:val="24"/>
          <w:szCs w:val="24"/>
        </w:rPr>
      </w:pPr>
      <w:r>
        <w:rPr>
          <w:rFonts w:hint="eastAsia" w:ascii="方正仿宋_GBK" w:hAnsi="方正仿宋_GBK" w:eastAsia="方正仿宋_GBK" w:cs="方正仿宋_GBK"/>
          <w:color w:val="auto"/>
          <w:sz w:val="24"/>
          <w:szCs w:val="24"/>
          <w:lang w:val="en-US" w:eastAsia="zh-CN"/>
        </w:rPr>
        <w:fldChar w:fldCharType="begin"/>
      </w:r>
      <w:r>
        <w:rPr>
          <w:rFonts w:hint="eastAsia" w:ascii="方正仿宋_GBK" w:hAnsi="方正仿宋_GBK" w:eastAsia="方正仿宋_GBK" w:cs="方正仿宋_GBK"/>
          <w:sz w:val="24"/>
          <w:szCs w:val="24"/>
          <w:lang w:val="en-US" w:eastAsia="zh-CN"/>
        </w:rPr>
        <w:instrText xml:space="preserve"> HYPERLINK \l _Toc18296 </w:instrText>
      </w:r>
      <w:r>
        <w:rPr>
          <w:rFonts w:hint="eastAsia" w:ascii="方正仿宋_GBK" w:hAnsi="方正仿宋_GBK" w:eastAsia="方正仿宋_GBK" w:cs="方正仿宋_GBK"/>
          <w:sz w:val="24"/>
          <w:szCs w:val="24"/>
          <w:lang w:val="en-US" w:eastAsia="zh-CN"/>
        </w:rPr>
        <w:fldChar w:fldCharType="separate"/>
      </w:r>
      <w:r>
        <w:rPr>
          <w:rFonts w:hint="eastAsia" w:ascii="方正小标宋_GBK" w:hAnsi="方正小标宋_GBK" w:eastAsia="方正小标宋_GBK" w:cs="方正小标宋_GBK"/>
          <w:sz w:val="24"/>
          <w:szCs w:val="24"/>
          <w:lang w:val="en-US" w:eastAsia="zh-CN"/>
        </w:rPr>
        <w:t>学习内容三：</w:t>
      </w:r>
      <w:r>
        <w:rPr>
          <w:rFonts w:hint="eastAsia" w:ascii="方正仿宋_GBK" w:hAnsi="方正仿宋_GBK" w:eastAsia="方正仿宋_GBK" w:cs="方正仿宋_GBK"/>
          <w:color w:val="auto"/>
          <w:sz w:val="24"/>
          <w:szCs w:val="24"/>
          <w:lang w:val="en-US" w:eastAsia="zh-CN"/>
        </w:rPr>
        <w:fldChar w:fldCharType="end"/>
      </w:r>
      <w:r>
        <w:rPr>
          <w:rFonts w:hint="eastAsia" w:ascii="方正仿宋_GBK" w:hAnsi="方正仿宋_GBK" w:eastAsia="方正仿宋_GBK" w:cs="方正仿宋_GBK"/>
          <w:color w:val="auto"/>
          <w:sz w:val="24"/>
          <w:szCs w:val="24"/>
          <w:lang w:val="en-US" w:eastAsia="zh-CN"/>
        </w:rPr>
        <w:fldChar w:fldCharType="begin"/>
      </w:r>
      <w:r>
        <w:rPr>
          <w:rFonts w:hint="eastAsia" w:ascii="方正仿宋_GBK" w:hAnsi="方正仿宋_GBK" w:eastAsia="方正仿宋_GBK" w:cs="方正仿宋_GBK"/>
          <w:sz w:val="24"/>
          <w:szCs w:val="24"/>
          <w:lang w:val="en-US" w:eastAsia="zh-CN"/>
        </w:rPr>
        <w:instrText xml:space="preserve"> HYPERLINK \l _Toc13688 </w:instrText>
      </w:r>
      <w:r>
        <w:rPr>
          <w:rFonts w:hint="eastAsia" w:ascii="方正仿宋_GBK" w:hAnsi="方正仿宋_GBK" w:eastAsia="方正仿宋_GBK" w:cs="方正仿宋_GBK"/>
          <w:sz w:val="24"/>
          <w:szCs w:val="24"/>
          <w:lang w:val="en-US" w:eastAsia="zh-CN"/>
        </w:rPr>
        <w:fldChar w:fldCharType="separate"/>
      </w:r>
      <w:r>
        <w:rPr>
          <w:rFonts w:hint="eastAsia" w:ascii="方正小标宋_GBK" w:hAnsi="方正小标宋_GBK" w:eastAsia="方正小标宋_GBK" w:cs="方正小标宋_GBK"/>
          <w:sz w:val="24"/>
          <w:szCs w:val="24"/>
          <w:lang w:val="en-US" w:eastAsia="zh-CN"/>
        </w:rPr>
        <w:t>关于《中共中央关于进一步全面深化改革、推进中国式现代化的决定》的说明</w:t>
      </w:r>
      <w:r>
        <w:rPr>
          <w:sz w:val="24"/>
          <w:szCs w:val="24"/>
        </w:rPr>
        <w:tab/>
      </w:r>
      <w:r>
        <w:rPr>
          <w:sz w:val="24"/>
          <w:szCs w:val="24"/>
        </w:rPr>
        <w:fldChar w:fldCharType="begin"/>
      </w:r>
      <w:r>
        <w:rPr>
          <w:sz w:val="24"/>
          <w:szCs w:val="24"/>
        </w:rPr>
        <w:instrText xml:space="preserve"> PAGEREF _Toc13688 \h </w:instrText>
      </w:r>
      <w:r>
        <w:rPr>
          <w:sz w:val="24"/>
          <w:szCs w:val="24"/>
        </w:rPr>
        <w:fldChar w:fldCharType="separate"/>
      </w:r>
      <w:r>
        <w:rPr>
          <w:sz w:val="24"/>
          <w:szCs w:val="24"/>
        </w:rPr>
        <w:t>48</w:t>
      </w:r>
      <w:r>
        <w:rPr>
          <w:sz w:val="24"/>
          <w:szCs w:val="24"/>
        </w:rPr>
        <w:fldChar w:fldCharType="end"/>
      </w:r>
      <w:r>
        <w:rPr>
          <w:rFonts w:hint="eastAsia" w:ascii="方正仿宋_GBK" w:hAnsi="方正仿宋_GBK" w:eastAsia="方正仿宋_GBK" w:cs="方正仿宋_GBK"/>
          <w:color w:val="auto"/>
          <w:sz w:val="24"/>
          <w:szCs w:val="24"/>
          <w:lang w:val="en-US" w:eastAsia="zh-CN"/>
        </w:rPr>
        <w:fldChar w:fldCharType="end"/>
      </w:r>
    </w:p>
    <w:p w14:paraId="66E08276">
      <w:pPr>
        <w:pStyle w:val="6"/>
        <w:tabs>
          <w:tab w:val="right" w:leader="dot" w:pos="8306"/>
        </w:tabs>
        <w:rPr>
          <w:sz w:val="24"/>
          <w:szCs w:val="24"/>
        </w:rPr>
      </w:pPr>
      <w:r>
        <w:rPr>
          <w:rFonts w:hint="eastAsia" w:ascii="方正仿宋_GBK" w:hAnsi="方正仿宋_GBK" w:eastAsia="方正仿宋_GBK" w:cs="方正仿宋_GBK"/>
          <w:color w:val="auto"/>
          <w:sz w:val="24"/>
          <w:szCs w:val="24"/>
          <w:lang w:val="en-US" w:eastAsia="zh-CN"/>
        </w:rPr>
        <w:fldChar w:fldCharType="begin"/>
      </w:r>
      <w:r>
        <w:rPr>
          <w:rFonts w:hint="eastAsia" w:ascii="方正仿宋_GBK" w:hAnsi="方正仿宋_GBK" w:eastAsia="方正仿宋_GBK" w:cs="方正仿宋_GBK"/>
          <w:sz w:val="24"/>
          <w:szCs w:val="24"/>
          <w:lang w:val="en-US" w:eastAsia="zh-CN"/>
        </w:rPr>
        <w:instrText xml:space="preserve"> HYPERLINK \l _Toc22555 </w:instrText>
      </w:r>
      <w:r>
        <w:rPr>
          <w:rFonts w:hint="eastAsia" w:ascii="方正仿宋_GBK" w:hAnsi="方正仿宋_GBK" w:eastAsia="方正仿宋_GBK" w:cs="方正仿宋_GBK"/>
          <w:sz w:val="24"/>
          <w:szCs w:val="24"/>
          <w:lang w:val="en-US" w:eastAsia="zh-CN"/>
        </w:rPr>
        <w:fldChar w:fldCharType="separate"/>
      </w:r>
      <w:r>
        <w:rPr>
          <w:rFonts w:hint="eastAsia" w:ascii="方正小标宋_GBK" w:hAnsi="方正小标宋_GBK" w:eastAsia="方正小标宋_GBK" w:cs="方正小标宋_GBK"/>
          <w:sz w:val="24"/>
          <w:szCs w:val="24"/>
          <w:lang w:val="en-US" w:eastAsia="zh-CN"/>
        </w:rPr>
        <w:t>学习内容四：</w:t>
      </w:r>
      <w:r>
        <w:rPr>
          <w:rFonts w:hint="eastAsia" w:ascii="方正仿宋_GBK" w:hAnsi="方正仿宋_GBK" w:eastAsia="方正仿宋_GBK" w:cs="方正仿宋_GBK"/>
          <w:color w:val="auto"/>
          <w:sz w:val="24"/>
          <w:szCs w:val="24"/>
          <w:lang w:val="en-US" w:eastAsia="zh-CN"/>
        </w:rPr>
        <w:fldChar w:fldCharType="end"/>
      </w:r>
      <w:r>
        <w:rPr>
          <w:rFonts w:hint="eastAsia" w:ascii="方正仿宋_GBK" w:hAnsi="方正仿宋_GBK" w:eastAsia="方正仿宋_GBK" w:cs="方正仿宋_GBK"/>
          <w:color w:val="auto"/>
          <w:sz w:val="24"/>
          <w:szCs w:val="24"/>
          <w:lang w:val="en-US" w:eastAsia="zh-CN"/>
        </w:rPr>
        <w:fldChar w:fldCharType="begin"/>
      </w:r>
      <w:r>
        <w:rPr>
          <w:rFonts w:hint="eastAsia" w:ascii="方正仿宋_GBK" w:hAnsi="方正仿宋_GBK" w:eastAsia="方正仿宋_GBK" w:cs="方正仿宋_GBK"/>
          <w:sz w:val="24"/>
          <w:szCs w:val="24"/>
          <w:lang w:val="en-US" w:eastAsia="zh-CN"/>
        </w:rPr>
        <w:instrText xml:space="preserve"> HYPERLINK \l _Toc8189 </w:instrText>
      </w:r>
      <w:r>
        <w:rPr>
          <w:rFonts w:hint="eastAsia" w:ascii="方正仿宋_GBK" w:hAnsi="方正仿宋_GBK" w:eastAsia="方正仿宋_GBK" w:cs="方正仿宋_GBK"/>
          <w:sz w:val="24"/>
          <w:szCs w:val="24"/>
          <w:lang w:val="en-US" w:eastAsia="zh-CN"/>
        </w:rPr>
        <w:fldChar w:fldCharType="separate"/>
      </w:r>
      <w:r>
        <w:rPr>
          <w:rFonts w:hint="eastAsia" w:ascii="方正小标宋_GBK" w:hAnsi="方正小标宋_GBK" w:eastAsia="方正小标宋_GBK" w:cs="方正小标宋_GBK"/>
          <w:sz w:val="24"/>
          <w:szCs w:val="24"/>
          <w:lang w:val="en-US" w:eastAsia="zh-CN"/>
        </w:rPr>
        <w:t>习近平就中央和国家机关学习贯彻党的二十届三中全会精神 推动机关党建高质量发展作出重要指示强调 在学习宣传贯彻全会精神上当好排头兵 全面提高机关党建质量建设模范机关 蔡奇出席座谈会并讲话</w:t>
      </w:r>
      <w:r>
        <w:rPr>
          <w:sz w:val="24"/>
          <w:szCs w:val="24"/>
        </w:rPr>
        <w:tab/>
      </w:r>
      <w:r>
        <w:rPr>
          <w:sz w:val="24"/>
          <w:szCs w:val="24"/>
        </w:rPr>
        <w:fldChar w:fldCharType="begin"/>
      </w:r>
      <w:r>
        <w:rPr>
          <w:sz w:val="24"/>
          <w:szCs w:val="24"/>
        </w:rPr>
        <w:instrText xml:space="preserve"> PAGEREF _Toc8189 \h </w:instrText>
      </w:r>
      <w:r>
        <w:rPr>
          <w:sz w:val="24"/>
          <w:szCs w:val="24"/>
        </w:rPr>
        <w:fldChar w:fldCharType="separate"/>
      </w:r>
      <w:r>
        <w:rPr>
          <w:sz w:val="24"/>
          <w:szCs w:val="24"/>
        </w:rPr>
        <w:t>58</w:t>
      </w:r>
      <w:r>
        <w:rPr>
          <w:sz w:val="24"/>
          <w:szCs w:val="24"/>
        </w:rPr>
        <w:fldChar w:fldCharType="end"/>
      </w:r>
      <w:r>
        <w:rPr>
          <w:rFonts w:hint="eastAsia" w:ascii="方正仿宋_GBK" w:hAnsi="方正仿宋_GBK" w:eastAsia="方正仿宋_GBK" w:cs="方正仿宋_GBK"/>
          <w:color w:val="auto"/>
          <w:sz w:val="24"/>
          <w:szCs w:val="24"/>
          <w:lang w:val="en-US" w:eastAsia="zh-CN"/>
        </w:rPr>
        <w:fldChar w:fldCharType="end"/>
      </w:r>
    </w:p>
    <w:p w14:paraId="6706BEC7">
      <w:pPr>
        <w:pStyle w:val="6"/>
        <w:tabs>
          <w:tab w:val="right" w:leader="dot" w:pos="8306"/>
        </w:tabs>
        <w:rPr>
          <w:sz w:val="24"/>
          <w:szCs w:val="24"/>
        </w:rPr>
      </w:pPr>
      <w:r>
        <w:rPr>
          <w:rFonts w:hint="eastAsia" w:ascii="方正仿宋_GBK" w:hAnsi="方正仿宋_GBK" w:eastAsia="方正仿宋_GBK" w:cs="方正仿宋_GBK"/>
          <w:color w:val="auto"/>
          <w:sz w:val="24"/>
          <w:szCs w:val="24"/>
          <w:lang w:val="en-US" w:eastAsia="zh-CN"/>
        </w:rPr>
        <w:fldChar w:fldCharType="begin"/>
      </w:r>
      <w:r>
        <w:rPr>
          <w:rFonts w:hint="eastAsia" w:ascii="方正仿宋_GBK" w:hAnsi="方正仿宋_GBK" w:eastAsia="方正仿宋_GBK" w:cs="方正仿宋_GBK"/>
          <w:sz w:val="24"/>
          <w:szCs w:val="24"/>
          <w:lang w:val="en-US" w:eastAsia="zh-CN"/>
        </w:rPr>
        <w:instrText xml:space="preserve"> HYPERLINK \l _Toc28622 </w:instrText>
      </w:r>
      <w:r>
        <w:rPr>
          <w:rFonts w:hint="eastAsia" w:ascii="方正仿宋_GBK" w:hAnsi="方正仿宋_GBK" w:eastAsia="方正仿宋_GBK" w:cs="方正仿宋_GBK"/>
          <w:sz w:val="24"/>
          <w:szCs w:val="24"/>
          <w:lang w:val="en-US" w:eastAsia="zh-CN"/>
        </w:rPr>
        <w:fldChar w:fldCharType="separate"/>
      </w:r>
      <w:r>
        <w:rPr>
          <w:rFonts w:hint="eastAsia" w:ascii="方正小标宋_GBK" w:hAnsi="方正小标宋_GBK" w:eastAsia="方正小标宋_GBK" w:cs="方正小标宋_GBK"/>
          <w:sz w:val="24"/>
          <w:szCs w:val="24"/>
          <w:lang w:val="en-US" w:eastAsia="zh-CN"/>
        </w:rPr>
        <w:t>学习内容五：</w:t>
      </w:r>
      <w:r>
        <w:rPr>
          <w:rFonts w:hint="eastAsia" w:ascii="方正仿宋_GBK" w:hAnsi="方正仿宋_GBK" w:eastAsia="方正仿宋_GBK" w:cs="方正仿宋_GBK"/>
          <w:color w:val="auto"/>
          <w:sz w:val="24"/>
          <w:szCs w:val="24"/>
          <w:lang w:val="en-US" w:eastAsia="zh-CN"/>
        </w:rPr>
        <w:fldChar w:fldCharType="end"/>
      </w:r>
      <w:r>
        <w:rPr>
          <w:rFonts w:hint="eastAsia" w:ascii="方正仿宋_GBK" w:hAnsi="方正仿宋_GBK" w:eastAsia="方正仿宋_GBK" w:cs="方正仿宋_GBK"/>
          <w:color w:val="auto"/>
          <w:sz w:val="24"/>
          <w:szCs w:val="24"/>
          <w:lang w:val="en-US" w:eastAsia="zh-CN"/>
        </w:rPr>
        <w:fldChar w:fldCharType="begin"/>
      </w:r>
      <w:r>
        <w:rPr>
          <w:rFonts w:hint="eastAsia" w:ascii="方正仿宋_GBK" w:hAnsi="方正仿宋_GBK" w:eastAsia="方正仿宋_GBK" w:cs="方正仿宋_GBK"/>
          <w:sz w:val="24"/>
          <w:szCs w:val="24"/>
          <w:lang w:val="en-US" w:eastAsia="zh-CN"/>
        </w:rPr>
        <w:instrText xml:space="preserve"> HYPERLINK \l _Toc20034 </w:instrText>
      </w:r>
      <w:r>
        <w:rPr>
          <w:rFonts w:hint="eastAsia" w:ascii="方正仿宋_GBK" w:hAnsi="方正仿宋_GBK" w:eastAsia="方正仿宋_GBK" w:cs="方正仿宋_GBK"/>
          <w:sz w:val="24"/>
          <w:szCs w:val="24"/>
          <w:lang w:val="en-US" w:eastAsia="zh-CN"/>
        </w:rPr>
        <w:fldChar w:fldCharType="separate"/>
      </w:r>
      <w:r>
        <w:rPr>
          <w:rFonts w:hint="eastAsia" w:ascii="方正小标宋_GBK" w:hAnsi="方正小标宋_GBK" w:eastAsia="方正小标宋_GBK" w:cs="方正小标宋_GBK"/>
          <w:sz w:val="24"/>
          <w:szCs w:val="24"/>
          <w:lang w:val="en-US" w:eastAsia="zh-CN"/>
        </w:rPr>
        <w:t>中共中央政治局召开会议 分析研究当前经济形势和经济工作 审议《整治形式主义为基层减负若干规定》 中共中央总书记习近平主持会议</w:t>
      </w:r>
      <w:r>
        <w:rPr>
          <w:sz w:val="24"/>
          <w:szCs w:val="24"/>
        </w:rPr>
        <w:tab/>
      </w:r>
      <w:r>
        <w:rPr>
          <w:sz w:val="24"/>
          <w:szCs w:val="24"/>
        </w:rPr>
        <w:fldChar w:fldCharType="begin"/>
      </w:r>
      <w:r>
        <w:rPr>
          <w:sz w:val="24"/>
          <w:szCs w:val="24"/>
        </w:rPr>
        <w:instrText xml:space="preserve"> PAGEREF _Toc20034 \h </w:instrText>
      </w:r>
      <w:r>
        <w:rPr>
          <w:sz w:val="24"/>
          <w:szCs w:val="24"/>
        </w:rPr>
        <w:fldChar w:fldCharType="separate"/>
      </w:r>
      <w:r>
        <w:rPr>
          <w:sz w:val="24"/>
          <w:szCs w:val="24"/>
        </w:rPr>
        <w:t>61</w:t>
      </w:r>
      <w:r>
        <w:rPr>
          <w:sz w:val="24"/>
          <w:szCs w:val="24"/>
        </w:rPr>
        <w:fldChar w:fldCharType="end"/>
      </w:r>
      <w:r>
        <w:rPr>
          <w:rFonts w:hint="eastAsia" w:ascii="方正仿宋_GBK" w:hAnsi="方正仿宋_GBK" w:eastAsia="方正仿宋_GBK" w:cs="方正仿宋_GBK"/>
          <w:color w:val="auto"/>
          <w:sz w:val="24"/>
          <w:szCs w:val="24"/>
          <w:lang w:val="en-US" w:eastAsia="zh-CN"/>
        </w:rPr>
        <w:fldChar w:fldCharType="end"/>
      </w:r>
    </w:p>
    <w:p w14:paraId="3CBDF0FC">
      <w:pPr>
        <w:pStyle w:val="6"/>
        <w:tabs>
          <w:tab w:val="right" w:leader="dot" w:pos="8306"/>
        </w:tabs>
        <w:rPr>
          <w:sz w:val="24"/>
          <w:szCs w:val="24"/>
        </w:rPr>
      </w:pPr>
      <w:r>
        <w:rPr>
          <w:rFonts w:hint="eastAsia" w:ascii="方正仿宋_GBK" w:hAnsi="方正仿宋_GBK" w:eastAsia="方正仿宋_GBK" w:cs="方正仿宋_GBK"/>
          <w:color w:val="auto"/>
          <w:sz w:val="24"/>
          <w:szCs w:val="24"/>
          <w:lang w:val="en-US" w:eastAsia="zh-CN"/>
        </w:rPr>
        <w:fldChar w:fldCharType="begin"/>
      </w:r>
      <w:r>
        <w:rPr>
          <w:rFonts w:hint="eastAsia" w:ascii="方正仿宋_GBK" w:hAnsi="方正仿宋_GBK" w:eastAsia="方正仿宋_GBK" w:cs="方正仿宋_GBK"/>
          <w:sz w:val="24"/>
          <w:szCs w:val="24"/>
          <w:lang w:val="en-US" w:eastAsia="zh-CN"/>
        </w:rPr>
        <w:instrText xml:space="preserve"> HYPERLINK \l _Toc14801 </w:instrText>
      </w:r>
      <w:r>
        <w:rPr>
          <w:rFonts w:hint="eastAsia" w:ascii="方正仿宋_GBK" w:hAnsi="方正仿宋_GBK" w:eastAsia="方正仿宋_GBK" w:cs="方正仿宋_GBK"/>
          <w:sz w:val="24"/>
          <w:szCs w:val="24"/>
          <w:lang w:val="en-US" w:eastAsia="zh-CN"/>
        </w:rPr>
        <w:fldChar w:fldCharType="separate"/>
      </w:r>
      <w:r>
        <w:rPr>
          <w:rFonts w:hint="eastAsia" w:ascii="方正小标宋_GBK" w:hAnsi="方正小标宋_GBK" w:eastAsia="方正小标宋_GBK" w:cs="方正小标宋_GBK"/>
          <w:sz w:val="24"/>
          <w:szCs w:val="24"/>
          <w:lang w:val="en-US" w:eastAsia="zh-CN"/>
        </w:rPr>
        <w:t>学习内容六：</w:t>
      </w:r>
      <w:r>
        <w:rPr>
          <w:rFonts w:hint="eastAsia" w:ascii="方正仿宋_GBK" w:hAnsi="方正仿宋_GBK" w:eastAsia="方正仿宋_GBK" w:cs="方正仿宋_GBK"/>
          <w:color w:val="auto"/>
          <w:sz w:val="24"/>
          <w:szCs w:val="24"/>
          <w:lang w:val="en-US" w:eastAsia="zh-CN"/>
        </w:rPr>
        <w:fldChar w:fldCharType="end"/>
      </w:r>
      <w:r>
        <w:rPr>
          <w:rFonts w:hint="eastAsia" w:ascii="方正仿宋_GBK" w:hAnsi="方正仿宋_GBK" w:eastAsia="方正仿宋_GBK" w:cs="方正仿宋_GBK"/>
          <w:color w:val="auto"/>
          <w:sz w:val="24"/>
          <w:szCs w:val="24"/>
          <w:lang w:val="en-US" w:eastAsia="zh-CN"/>
        </w:rPr>
        <w:fldChar w:fldCharType="begin"/>
      </w:r>
      <w:r>
        <w:rPr>
          <w:rFonts w:hint="eastAsia" w:ascii="方正仿宋_GBK" w:hAnsi="方正仿宋_GBK" w:eastAsia="方正仿宋_GBK" w:cs="方正仿宋_GBK"/>
          <w:sz w:val="24"/>
          <w:szCs w:val="24"/>
          <w:lang w:val="en-US" w:eastAsia="zh-CN"/>
        </w:rPr>
        <w:instrText xml:space="preserve"> HYPERLINK \l _Toc4689 </w:instrText>
      </w:r>
      <w:r>
        <w:rPr>
          <w:rFonts w:hint="eastAsia" w:ascii="方正仿宋_GBK" w:hAnsi="方正仿宋_GBK" w:eastAsia="方正仿宋_GBK" w:cs="方正仿宋_GBK"/>
          <w:sz w:val="24"/>
          <w:szCs w:val="24"/>
          <w:lang w:val="en-US" w:eastAsia="zh-CN"/>
        </w:rPr>
        <w:fldChar w:fldCharType="separate"/>
      </w:r>
      <w:r>
        <w:rPr>
          <w:rFonts w:hint="eastAsia" w:ascii="方正小标宋_GBK" w:hAnsi="方正小标宋_GBK" w:eastAsia="方正小标宋_GBK" w:cs="方正小标宋_GBK"/>
          <w:sz w:val="24"/>
          <w:szCs w:val="24"/>
          <w:lang w:val="en-US" w:eastAsia="zh-CN"/>
        </w:rPr>
        <w:t>中共中央 国务院关于加快经济社会发展全面绿色转型的意见</w:t>
      </w:r>
      <w:r>
        <w:rPr>
          <w:rFonts w:hint="eastAsia" w:ascii="方正楷体_GBK" w:hAnsi="方正楷体_GBK" w:eastAsia="方正楷体_GBK" w:cs="方正楷体_GBK"/>
          <w:sz w:val="24"/>
          <w:szCs w:val="24"/>
          <w:lang w:val="en-US" w:eastAsia="zh-CN"/>
        </w:rPr>
        <w:t>（2024年7月31日）</w:t>
      </w:r>
      <w:r>
        <w:rPr>
          <w:sz w:val="24"/>
          <w:szCs w:val="24"/>
        </w:rPr>
        <w:tab/>
      </w:r>
      <w:r>
        <w:rPr>
          <w:sz w:val="24"/>
          <w:szCs w:val="24"/>
        </w:rPr>
        <w:fldChar w:fldCharType="begin"/>
      </w:r>
      <w:r>
        <w:rPr>
          <w:sz w:val="24"/>
          <w:szCs w:val="24"/>
        </w:rPr>
        <w:instrText xml:space="preserve"> PAGEREF _Toc4689 \h </w:instrText>
      </w:r>
      <w:r>
        <w:rPr>
          <w:sz w:val="24"/>
          <w:szCs w:val="24"/>
        </w:rPr>
        <w:fldChar w:fldCharType="separate"/>
      </w:r>
      <w:r>
        <w:rPr>
          <w:sz w:val="24"/>
          <w:szCs w:val="24"/>
        </w:rPr>
        <w:t>66</w:t>
      </w:r>
      <w:r>
        <w:rPr>
          <w:sz w:val="24"/>
          <w:szCs w:val="24"/>
        </w:rPr>
        <w:fldChar w:fldCharType="end"/>
      </w:r>
      <w:r>
        <w:rPr>
          <w:rFonts w:hint="eastAsia" w:ascii="方正仿宋_GBK" w:hAnsi="方正仿宋_GBK" w:eastAsia="方正仿宋_GBK" w:cs="方正仿宋_GBK"/>
          <w:color w:val="auto"/>
          <w:sz w:val="24"/>
          <w:szCs w:val="24"/>
          <w:lang w:val="en-US" w:eastAsia="zh-CN"/>
        </w:rPr>
        <w:fldChar w:fldCharType="end"/>
      </w:r>
    </w:p>
    <w:p w14:paraId="6A6C1914">
      <w:pPr>
        <w:pStyle w:val="6"/>
        <w:tabs>
          <w:tab w:val="right" w:leader="dot" w:pos="8306"/>
        </w:tabs>
        <w:rPr>
          <w:sz w:val="24"/>
          <w:szCs w:val="24"/>
        </w:rPr>
      </w:pPr>
      <w:r>
        <w:rPr>
          <w:rFonts w:hint="eastAsia" w:ascii="方正仿宋_GBK" w:hAnsi="方正仿宋_GBK" w:eastAsia="方正仿宋_GBK" w:cs="方正仿宋_GBK"/>
          <w:color w:val="auto"/>
          <w:sz w:val="24"/>
          <w:szCs w:val="24"/>
          <w:lang w:val="en-US" w:eastAsia="zh-CN"/>
        </w:rPr>
        <w:fldChar w:fldCharType="begin"/>
      </w:r>
      <w:r>
        <w:rPr>
          <w:rFonts w:hint="eastAsia" w:ascii="方正仿宋_GBK" w:hAnsi="方正仿宋_GBK" w:eastAsia="方正仿宋_GBK" w:cs="方正仿宋_GBK"/>
          <w:sz w:val="24"/>
          <w:szCs w:val="24"/>
          <w:lang w:val="en-US" w:eastAsia="zh-CN"/>
        </w:rPr>
        <w:instrText xml:space="preserve"> HYPERLINK \l _Toc19182 </w:instrText>
      </w:r>
      <w:r>
        <w:rPr>
          <w:rFonts w:hint="eastAsia" w:ascii="方正仿宋_GBK" w:hAnsi="方正仿宋_GBK" w:eastAsia="方正仿宋_GBK" w:cs="方正仿宋_GBK"/>
          <w:sz w:val="24"/>
          <w:szCs w:val="24"/>
          <w:lang w:val="en-US" w:eastAsia="zh-CN"/>
        </w:rPr>
        <w:fldChar w:fldCharType="separate"/>
      </w:r>
      <w:r>
        <w:rPr>
          <w:rFonts w:hint="eastAsia" w:ascii="方正小标宋_GBK" w:hAnsi="方正小标宋_GBK" w:eastAsia="方正小标宋_GBK" w:cs="方正小标宋_GBK"/>
          <w:sz w:val="24"/>
          <w:szCs w:val="24"/>
          <w:lang w:val="en-US" w:eastAsia="zh-CN"/>
        </w:rPr>
        <w:t>学习内容七：</w:t>
      </w:r>
      <w:r>
        <w:rPr>
          <w:rFonts w:hint="eastAsia" w:ascii="方正仿宋_GBK" w:hAnsi="方正仿宋_GBK" w:eastAsia="方正仿宋_GBK" w:cs="方正仿宋_GBK"/>
          <w:color w:val="auto"/>
          <w:sz w:val="24"/>
          <w:szCs w:val="24"/>
          <w:lang w:val="en-US" w:eastAsia="zh-CN"/>
        </w:rPr>
        <w:fldChar w:fldCharType="end"/>
      </w:r>
      <w:r>
        <w:rPr>
          <w:rFonts w:hint="eastAsia" w:ascii="方正仿宋_GBK" w:hAnsi="方正仿宋_GBK" w:eastAsia="方正仿宋_GBK" w:cs="方正仿宋_GBK"/>
          <w:color w:val="auto"/>
          <w:sz w:val="24"/>
          <w:szCs w:val="24"/>
          <w:lang w:val="en-US" w:eastAsia="zh-CN"/>
        </w:rPr>
        <w:fldChar w:fldCharType="begin"/>
      </w:r>
      <w:r>
        <w:rPr>
          <w:rFonts w:hint="eastAsia" w:ascii="方正仿宋_GBK" w:hAnsi="方正仿宋_GBK" w:eastAsia="方正仿宋_GBK" w:cs="方正仿宋_GBK"/>
          <w:sz w:val="24"/>
          <w:szCs w:val="24"/>
          <w:lang w:val="en-US" w:eastAsia="zh-CN"/>
        </w:rPr>
        <w:instrText xml:space="preserve"> HYPERLINK \l _Toc31922 </w:instrText>
      </w:r>
      <w:r>
        <w:rPr>
          <w:rFonts w:hint="eastAsia" w:ascii="方正仿宋_GBK" w:hAnsi="方正仿宋_GBK" w:eastAsia="方正仿宋_GBK" w:cs="方正仿宋_GBK"/>
          <w:sz w:val="24"/>
          <w:szCs w:val="24"/>
          <w:lang w:val="en-US" w:eastAsia="zh-CN"/>
        </w:rPr>
        <w:fldChar w:fldCharType="separate"/>
      </w:r>
      <w:r>
        <w:rPr>
          <w:rFonts w:hint="eastAsia" w:ascii="方正小标宋_GBK" w:hAnsi="方正小标宋_GBK" w:eastAsia="方正小标宋_GBK" w:cs="方正小标宋_GBK"/>
          <w:sz w:val="24"/>
          <w:szCs w:val="24"/>
          <w:lang w:val="en-US" w:eastAsia="zh-CN"/>
        </w:rPr>
        <w:t>市委常委会举行会议 深入学习贯彻习近平总书记重要指示精神 研究部署推动机关党建高质量发展等工作 市委书记袁家军主持并讲话</w:t>
      </w:r>
      <w:r>
        <w:rPr>
          <w:sz w:val="24"/>
          <w:szCs w:val="24"/>
        </w:rPr>
        <w:tab/>
      </w:r>
      <w:r>
        <w:rPr>
          <w:sz w:val="24"/>
          <w:szCs w:val="24"/>
        </w:rPr>
        <w:fldChar w:fldCharType="begin"/>
      </w:r>
      <w:r>
        <w:rPr>
          <w:sz w:val="24"/>
          <w:szCs w:val="24"/>
        </w:rPr>
        <w:instrText xml:space="preserve"> PAGEREF _Toc31922 \h </w:instrText>
      </w:r>
      <w:r>
        <w:rPr>
          <w:sz w:val="24"/>
          <w:szCs w:val="24"/>
        </w:rPr>
        <w:fldChar w:fldCharType="separate"/>
      </w:r>
      <w:r>
        <w:rPr>
          <w:sz w:val="24"/>
          <w:szCs w:val="24"/>
        </w:rPr>
        <w:t>79</w:t>
      </w:r>
      <w:r>
        <w:rPr>
          <w:sz w:val="24"/>
          <w:szCs w:val="24"/>
        </w:rPr>
        <w:fldChar w:fldCharType="end"/>
      </w:r>
      <w:r>
        <w:rPr>
          <w:rFonts w:hint="eastAsia" w:ascii="方正仿宋_GBK" w:hAnsi="方正仿宋_GBK" w:eastAsia="方正仿宋_GBK" w:cs="方正仿宋_GBK"/>
          <w:color w:val="auto"/>
          <w:sz w:val="24"/>
          <w:szCs w:val="24"/>
          <w:lang w:val="en-US" w:eastAsia="zh-CN"/>
        </w:rPr>
        <w:fldChar w:fldCharType="end"/>
      </w:r>
    </w:p>
    <w:p w14:paraId="4FFFCD46">
      <w:pPr>
        <w:pStyle w:val="6"/>
        <w:tabs>
          <w:tab w:val="right" w:leader="dot" w:pos="8306"/>
        </w:tabs>
        <w:rPr>
          <w:sz w:val="24"/>
          <w:szCs w:val="24"/>
        </w:rPr>
      </w:pPr>
      <w:r>
        <w:rPr>
          <w:rFonts w:hint="eastAsia" w:ascii="方正仿宋_GBK" w:hAnsi="方正仿宋_GBK" w:eastAsia="方正仿宋_GBK" w:cs="方正仿宋_GBK"/>
          <w:color w:val="auto"/>
          <w:sz w:val="24"/>
          <w:szCs w:val="24"/>
          <w:lang w:val="en-US" w:eastAsia="zh-CN"/>
        </w:rPr>
        <w:fldChar w:fldCharType="begin"/>
      </w:r>
      <w:r>
        <w:rPr>
          <w:rFonts w:hint="eastAsia" w:ascii="方正仿宋_GBK" w:hAnsi="方正仿宋_GBK" w:eastAsia="方正仿宋_GBK" w:cs="方正仿宋_GBK"/>
          <w:sz w:val="24"/>
          <w:szCs w:val="24"/>
          <w:lang w:val="en-US" w:eastAsia="zh-CN"/>
        </w:rPr>
        <w:instrText xml:space="preserve"> HYPERLINK \l _Toc29844 </w:instrText>
      </w:r>
      <w:r>
        <w:rPr>
          <w:rFonts w:hint="eastAsia" w:ascii="方正仿宋_GBK" w:hAnsi="方正仿宋_GBK" w:eastAsia="方正仿宋_GBK" w:cs="方正仿宋_GBK"/>
          <w:sz w:val="24"/>
          <w:szCs w:val="24"/>
          <w:lang w:val="en-US" w:eastAsia="zh-CN"/>
        </w:rPr>
        <w:fldChar w:fldCharType="separate"/>
      </w:r>
      <w:r>
        <w:rPr>
          <w:rFonts w:hint="eastAsia" w:ascii="方正小标宋_GBK" w:hAnsi="方正小标宋_GBK" w:eastAsia="方正小标宋_GBK" w:cs="方正小标宋_GBK"/>
          <w:sz w:val="24"/>
          <w:szCs w:val="24"/>
          <w:lang w:val="en-US" w:eastAsia="zh-CN"/>
        </w:rPr>
        <w:t>学习内容八：</w:t>
      </w:r>
      <w:r>
        <w:rPr>
          <w:rFonts w:hint="eastAsia" w:ascii="方正仿宋_GBK" w:hAnsi="方正仿宋_GBK" w:eastAsia="方正仿宋_GBK" w:cs="方正仿宋_GBK"/>
          <w:color w:val="auto"/>
          <w:sz w:val="24"/>
          <w:szCs w:val="24"/>
          <w:lang w:val="en-US" w:eastAsia="zh-CN"/>
        </w:rPr>
        <w:fldChar w:fldCharType="end"/>
      </w:r>
      <w:r>
        <w:rPr>
          <w:rFonts w:hint="eastAsia" w:ascii="方正仿宋_GBK" w:hAnsi="方正仿宋_GBK" w:eastAsia="方正仿宋_GBK" w:cs="方正仿宋_GBK"/>
          <w:color w:val="auto"/>
          <w:sz w:val="24"/>
          <w:szCs w:val="24"/>
          <w:lang w:val="en-US" w:eastAsia="zh-CN"/>
        </w:rPr>
        <w:fldChar w:fldCharType="begin"/>
      </w:r>
      <w:r>
        <w:rPr>
          <w:rFonts w:hint="eastAsia" w:ascii="方正仿宋_GBK" w:hAnsi="方正仿宋_GBK" w:eastAsia="方正仿宋_GBK" w:cs="方正仿宋_GBK"/>
          <w:sz w:val="24"/>
          <w:szCs w:val="24"/>
          <w:lang w:val="en-US" w:eastAsia="zh-CN"/>
        </w:rPr>
        <w:instrText xml:space="preserve"> HYPERLINK \l _Toc17594 </w:instrText>
      </w:r>
      <w:r>
        <w:rPr>
          <w:rFonts w:hint="eastAsia" w:ascii="方正仿宋_GBK" w:hAnsi="方正仿宋_GBK" w:eastAsia="方正仿宋_GBK" w:cs="方正仿宋_GBK"/>
          <w:sz w:val="24"/>
          <w:szCs w:val="24"/>
          <w:lang w:val="en-US" w:eastAsia="zh-CN"/>
        </w:rPr>
        <w:fldChar w:fldCharType="separate"/>
      </w:r>
      <w:r>
        <w:rPr>
          <w:rFonts w:hint="eastAsia" w:ascii="方正小标宋_GBK" w:hAnsi="方正小标宋_GBK" w:eastAsia="方正小标宋_GBK" w:cs="方正小标宋_GBK"/>
          <w:sz w:val="24"/>
          <w:szCs w:val="24"/>
          <w:lang w:val="en-US" w:eastAsia="zh-CN"/>
        </w:rPr>
        <w:t>袁家军赴科研单位宣</w:t>
      </w:r>
      <w:bookmarkStart w:id="62" w:name="_GoBack"/>
      <w:bookmarkEnd w:id="62"/>
      <w:r>
        <w:rPr>
          <w:rFonts w:hint="eastAsia" w:ascii="方正小标宋_GBK" w:hAnsi="方正小标宋_GBK" w:eastAsia="方正小标宋_GBK" w:cs="方正小标宋_GBK"/>
          <w:sz w:val="24"/>
          <w:szCs w:val="24"/>
          <w:lang w:val="en-US" w:eastAsia="zh-CN"/>
        </w:rPr>
        <w:t>讲党的二十届三中全会精神并调研科技创新工作 深化“四链”融合 打造科技创新标志性成果</w:t>
      </w:r>
      <w:r>
        <w:rPr>
          <w:sz w:val="24"/>
          <w:szCs w:val="24"/>
        </w:rPr>
        <w:tab/>
      </w:r>
      <w:r>
        <w:rPr>
          <w:sz w:val="24"/>
          <w:szCs w:val="24"/>
        </w:rPr>
        <w:fldChar w:fldCharType="begin"/>
      </w:r>
      <w:r>
        <w:rPr>
          <w:sz w:val="24"/>
          <w:szCs w:val="24"/>
        </w:rPr>
        <w:instrText xml:space="preserve"> PAGEREF _Toc17594 \h </w:instrText>
      </w:r>
      <w:r>
        <w:rPr>
          <w:sz w:val="24"/>
          <w:szCs w:val="24"/>
        </w:rPr>
        <w:fldChar w:fldCharType="separate"/>
      </w:r>
      <w:r>
        <w:rPr>
          <w:sz w:val="24"/>
          <w:szCs w:val="24"/>
        </w:rPr>
        <w:t>83</w:t>
      </w:r>
      <w:r>
        <w:rPr>
          <w:sz w:val="24"/>
          <w:szCs w:val="24"/>
        </w:rPr>
        <w:fldChar w:fldCharType="end"/>
      </w:r>
      <w:r>
        <w:rPr>
          <w:rFonts w:hint="eastAsia" w:ascii="方正仿宋_GBK" w:hAnsi="方正仿宋_GBK" w:eastAsia="方正仿宋_GBK" w:cs="方正仿宋_GBK"/>
          <w:color w:val="auto"/>
          <w:sz w:val="24"/>
          <w:szCs w:val="24"/>
          <w:lang w:val="en-US" w:eastAsia="zh-CN"/>
        </w:rPr>
        <w:fldChar w:fldCharType="end"/>
      </w:r>
    </w:p>
    <w:p w14:paraId="59635200">
      <w:pPr>
        <w:pStyle w:val="6"/>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ind w:left="0"/>
        <w:textAlignment w:val="auto"/>
        <w:rPr>
          <w:rStyle w:val="10"/>
          <w:rFonts w:hint="eastAsia" w:ascii="方正仿宋_GBK" w:hAnsi="方正仿宋_GBK" w:eastAsia="方正仿宋_GBK" w:cs="方正仿宋_GBK"/>
          <w:i w:val="0"/>
          <w:iCs w:val="0"/>
          <w:caps w:val="0"/>
          <w:color w:val="auto"/>
          <w:spacing w:val="0"/>
          <w:sz w:val="28"/>
          <w:szCs w:val="28"/>
          <w:shd w:val="clear" w:fill="FFFFFF"/>
        </w:rPr>
        <w:sectPr>
          <w:pgSz w:w="11906" w:h="16838"/>
          <w:pgMar w:top="1440" w:right="1800" w:bottom="1440" w:left="1800" w:header="851" w:footer="992" w:gutter="0"/>
          <w:pgNumType w:fmt="decimal"/>
          <w:cols w:space="425" w:num="1"/>
          <w:docGrid w:type="lines" w:linePitch="312" w:charSpace="0"/>
        </w:sectPr>
      </w:pPr>
      <w:r>
        <w:rPr>
          <w:rFonts w:hint="eastAsia" w:ascii="方正仿宋_GBK" w:hAnsi="方正仿宋_GBK" w:eastAsia="方正仿宋_GBK" w:cs="方正仿宋_GBK"/>
          <w:color w:val="auto"/>
          <w:sz w:val="24"/>
          <w:szCs w:val="24"/>
          <w:lang w:val="en-US" w:eastAsia="zh-CN"/>
        </w:rPr>
        <w:fldChar w:fldCharType="end"/>
      </w:r>
    </w:p>
    <w:p w14:paraId="549D46EC">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0" w:name="_Toc4187"/>
      <w:bookmarkStart w:id="1" w:name="_Toc11983"/>
      <w:bookmarkStart w:id="2" w:name="_Toc4773"/>
      <w:r>
        <w:rPr>
          <w:rFonts w:hint="eastAsia" w:ascii="方正小标宋_GBK" w:hAnsi="方正小标宋_GBK" w:eastAsia="方正小标宋_GBK" w:cs="方正小标宋_GBK"/>
          <w:color w:val="auto"/>
          <w:sz w:val="36"/>
          <w:szCs w:val="36"/>
          <w:lang w:val="en-US" w:eastAsia="zh-CN"/>
        </w:rPr>
        <w:t>学习内容一：</w:t>
      </w:r>
      <w:bookmarkEnd w:id="0"/>
      <w:bookmarkEnd w:id="1"/>
    </w:p>
    <w:p w14:paraId="08DF6ABE">
      <w:pPr>
        <w:keepNext w:val="0"/>
        <w:keepLines w:val="0"/>
        <w:pageBreakBefore w:val="0"/>
        <w:kinsoku/>
        <w:wordWrap/>
        <w:overflowPunct/>
        <w:topLinePunct w:val="0"/>
        <w:autoSpaceDE/>
        <w:autoSpaceDN/>
        <w:bidi w:val="0"/>
        <w:adjustRightInd w:val="0"/>
        <w:snapToGrid w:val="0"/>
        <w:spacing w:line="560" w:lineRule="exact"/>
        <w:ind w:left="0" w:right="0" w:hanging="720" w:hangingChars="200"/>
        <w:jc w:val="center"/>
        <w:textAlignment w:val="auto"/>
        <w:outlineLvl w:val="0"/>
        <w:rPr>
          <w:rFonts w:hint="eastAsia" w:ascii="方正小标宋_GBK" w:hAnsi="方正小标宋_GBK" w:eastAsia="方正小标宋_GBK" w:cs="方正小标宋_GBK"/>
          <w:color w:val="auto"/>
          <w:sz w:val="36"/>
          <w:szCs w:val="36"/>
          <w:lang w:val="en-US" w:eastAsia="zh-CN"/>
        </w:rPr>
      </w:pPr>
      <w:bookmarkStart w:id="3" w:name="_Toc22305"/>
      <w:r>
        <w:rPr>
          <w:rFonts w:hint="eastAsia" w:ascii="方正小标宋_GBK" w:hAnsi="方正小标宋_GBK" w:eastAsia="方正小标宋_GBK" w:cs="方正小标宋_GBK"/>
          <w:color w:val="auto"/>
          <w:sz w:val="36"/>
          <w:szCs w:val="36"/>
          <w:lang w:val="en-US" w:eastAsia="zh-CN"/>
        </w:rPr>
        <w:t>中国共产党第二十届中央委员会第三次全体会议公报</w:t>
      </w:r>
      <w:bookmarkEnd w:id="3"/>
    </w:p>
    <w:p w14:paraId="58482E68">
      <w:pPr>
        <w:keepNext w:val="0"/>
        <w:keepLines w:val="0"/>
        <w:pageBreakBefore w:val="0"/>
        <w:kinsoku/>
        <w:wordWrap/>
        <w:overflowPunct/>
        <w:topLinePunct w:val="0"/>
        <w:autoSpaceDE/>
        <w:autoSpaceDN/>
        <w:bidi w:val="0"/>
        <w:adjustRightInd w:val="0"/>
        <w:snapToGrid w:val="0"/>
        <w:spacing w:line="560" w:lineRule="exact"/>
        <w:ind w:left="0" w:right="0" w:hanging="640" w:hangingChars="200"/>
        <w:jc w:val="center"/>
        <w:textAlignment w:val="auto"/>
        <w:outlineLvl w:val="0"/>
        <w:rPr>
          <w:rFonts w:hint="eastAsia" w:ascii="方正小标宋_GBK" w:hAnsi="方正小标宋_GBK" w:eastAsia="方正小标宋_GBK" w:cs="方正小标宋_GBK"/>
          <w:color w:val="auto"/>
          <w:sz w:val="36"/>
          <w:szCs w:val="36"/>
          <w:lang w:val="en-US" w:eastAsia="zh-CN"/>
        </w:rPr>
      </w:pPr>
      <w:bookmarkStart w:id="4" w:name="_Toc17276"/>
      <w:r>
        <w:rPr>
          <w:rFonts w:hint="eastAsia" w:ascii="方正楷体_GBK" w:hAnsi="方正楷体_GBK" w:eastAsia="方正楷体_GBK" w:cs="方正楷体_GBK"/>
          <w:color w:val="auto"/>
          <w:sz w:val="32"/>
          <w:szCs w:val="32"/>
          <w:lang w:val="en-US" w:eastAsia="zh-CN"/>
        </w:rPr>
        <w:t>（2024年7月18日中国共产党第二十届中央委员会第三次全体会议通过）</w:t>
      </w:r>
      <w:bookmarkEnd w:id="4"/>
    </w:p>
    <w:p w14:paraId="456079FE">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p>
    <w:p w14:paraId="06588517">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中国共产党第二十届中央委员会第三次全体会议，于2024年7月15日至18日在北京举行。</w:t>
      </w:r>
    </w:p>
    <w:p w14:paraId="01DDB3F0">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出席这次全会的有，中央委员199人，候补中央委员165人。中央纪律检查委员会常务委员会委员和有关方面负责同志列席会议。党的二十大代表中部分基层同志和专家学者也列席了会议。</w:t>
      </w:r>
    </w:p>
    <w:p w14:paraId="65056724">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全会由中央政治局主持。中央委员会总书记习近平作了重要讲话。</w:t>
      </w:r>
    </w:p>
    <w:p w14:paraId="5F32B17F">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全会听取和讨论了习近平受中央政治局委托所作的工作报告，审议通过了《中共中央关于进一步全面深化改革、推进中国式现代化的决定》。习近平就《决定（讨论稿）》向全会作了说明。</w:t>
      </w:r>
    </w:p>
    <w:p w14:paraId="1F0E9A2B">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会充分肯定党的二十届二中全会以来中央政治局的工作。一致认为，面对严峻复杂的国际环境和艰巨繁重的国内改革发展稳定任务，中央政治局认真落实党的二十大和二十届一中、二中全会精神，完整准确全面贯彻新发展理念，坚持稳中求进工作总基调，统筹推进“五位一体”总体布局、协调推进“四个全面”战略布局，统筹国内国际两个大局，统筹发展和安全，着力推动高质量发展，进一步推动和谋划全面深化改革，扎实推进社会主义民主法治建设，不断加强宣传思想文化工作，切实抓好民生保障和生态环境保护，坚决维护国家安全和社会稳定，有力推进国防和军队建设，继续推进港澳工作和对台工作，深入推进中国特色大国外交，一以贯之推进全面从严治党，实现经济回升向好，全面建设社会主义现代化国家迈出坚实步伐。</w:t>
      </w:r>
    </w:p>
    <w:p w14:paraId="1403A97A">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会高度评价新时代以来全面深化改革的成功实践和伟大成就，研究了进一步全面深化改革、推进中国式现代化问题，认为当前和今后一个时期是以中国式现代化全面推进强国建设、民族复兴伟业的关键时期。中国式现代化是在改革开放中不断推进的，也必将在改革开放中开辟广阔前景。面对纷繁复杂的国际国内形势，面对新一轮科技革命和产业变革，面对人民群众新期待，必须自觉把改革摆在更加突出位置，紧紧围绕推进中国式现代化进一步全面深化改革。</w:t>
      </w:r>
    </w:p>
    <w:p w14:paraId="34BFB2C5">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会强调，进一步全面深化改革，必须坚持马克思列宁主义、毛泽东思想、邓小平理论、“三个代表”重要思想、科学发展观，全面贯彻习近平新时代中国特色社会主义思想，深入学习贯彻习近平总书记关于全面深化改革的一系列新思想、新观点、新论断，完整准确全面贯彻新发展理念，坚持稳中求进工作总基调，坚持解放思想、实事求是、与时俱进、求真务实，进一步解放和发展社会生产力、激发和增强社会活力，统筹国内国际两个大局，统筹推进“五位一体”总体布局，协调推进“四个全面”战略布局，以经济体制改革为牵引，以促进社会公平正义、增进人民福祉为出发点和落脚点，更加注重系统集成，更加注重突出重点，更加注重改革实效，推动生产关系和生产力、上层建筑和经济基础、国家治理和社会发展更好相适应，为中国式现代化提供强大动力和制度保障。</w:t>
      </w:r>
    </w:p>
    <w:p w14:paraId="660825DA">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会指出，进一步全面深化改革的总目标是继续完善和发展中国特色社会主义制度，推进国家治理体系和治理能力现代化。到二〇三五年，全面建成高水平社会主义市场经济体制，中国特色社会主义制度更加完善，基本实现国家治理体系和治理能力现代化，基本实现社会主义现代化，为到本世纪中叶全面建成社会主义现代化强国奠定坚实基础。要聚焦构建高水平社会主义市场经济体制，聚焦发展全过程人民民主，聚焦建设社会主义文化强国，聚焦提高人民生活品质，聚焦建设美丽中国，聚焦建设更高水平平安中国，聚焦提高党的领导水平和长期执政能力，继续把改革推向前进。到二〇二九年中华人民共和国成立八十周年时，完成本决定提出的改革任务。</w:t>
      </w:r>
    </w:p>
    <w:p w14:paraId="24FCFFEB">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会强调，进一步全面深化改革要总结和运用改革开放以来特别是新时代全面深化改革的宝贵经验，贯彻坚持党的全面领导、坚持以人民为中心、坚持守正创新、坚持以制度建设为主线、坚持全面依法治国、坚持系统观念等原则。</w:t>
      </w:r>
    </w:p>
    <w:p w14:paraId="39E31620">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会对进一步全面深化改革做出系统部署，强调构建高水平社会主义市场经济体制，健全推动经济高质量发展体制机制，构建支持全面创新体制机制，健全宏观经济治理体系，完善城乡融合发展体制机制，完善高水平对外开放体制机制，健全全过程人民民主制度体系，完善中国特色社会主义法治体系，深化文化体制机制改革，健全保障和改善民生制度体系，深化生态文明体制改革，推进国家安全体系和能力现代化，持续深化国防和军队改革，提高党对进一步全面深化改革、推进中国式现代化的领导水平。</w:t>
      </w:r>
    </w:p>
    <w:p w14:paraId="734D6CB1">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会提出，高水平社会主义市场经济体制是中国式现代化的重要保障。必须更好发挥市场机制作用，创造更加公平、更有活力的市场环境，实现资源配置效率最优化和效益最大化，既“放得活”又“管得住”，更好维护市场秩序、弥补市场失灵，畅通国民经济循环，激发全社会内生动力和创新活力。要毫不动摇巩固和发展公有制经济，毫不动摇鼓励、支持、引导非公有制经济发展，保证各种所有制经济依法平等使用生产要素、公平参与市场竞争、同等受到法律保护，促进各种所有制经济优势互补、共同发展。要构建全国统一大市场，完善市场经济基础制度。</w:t>
      </w:r>
    </w:p>
    <w:p w14:paraId="17BD0E8D">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会提出，高质量发展是全面建设社会主义现代化国家的首要任务。必须以新发展理念引领改革，立足新发展阶段，深化供给侧结构性改革，完善推动高质量发展激励约束机制，塑造发展新动能新优势。要健全因地制宜发展新质生产力体制机制，健全促进实体经济和数字经济深度融合制度，完善发展服务业体制机制，健全现代化基础设施建设体制机制，健全提升产业链供应链韧性和安全水平制度。</w:t>
      </w:r>
    </w:p>
    <w:p w14:paraId="6794C5B1">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会提出，教育、科技、人才是中国式现代化的基础性、战略性支撑。必须深入实施科教兴国战略、人才强国战略、创新驱动发展战略，统筹推进教育科技人才体制机制一体改革，健全新型举国体制，提升国家创新体系整体效能。要深化教育综合改革，深化科技体制改革，深化人才发展体制机制改革。</w:t>
      </w:r>
    </w:p>
    <w:p w14:paraId="3DD23471">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会提出，科学的宏观调控、有效的政府治理是发挥社会主义市场经济体制优势的内在要求。必须完善宏观调控制度体系，统筹推进财税、金融等重点领域改革，增强宏观政策取向一致性。要完善国家战略规划体系和政策统筹协调机制，深化财税体制改革，深化金融体制改革，完善实施区域协调发展战略机制。</w:t>
      </w:r>
    </w:p>
    <w:p w14:paraId="09BCCEA7">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会提出，城乡融合发展是中国式现代化的必然要求。必须统筹新型工业化、新型城镇化和乡村全面振兴，全面提高城乡规划、建设、治理融合水平，促进城乡要素平等交换、双向流动，缩小城乡差别，促进城乡共同繁荣发展。要健全推进新型城镇化体制机制，巩固和完善农村基本经营制度，完善强农惠农富农支持制度，深化土地制度改革。</w:t>
      </w:r>
    </w:p>
    <w:p w14:paraId="7A225BFF">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会提出，开放是中国式现代化的鲜明标识。必须坚持对外开放基本国策，坚持以开放促改革，依托我国超大规模市场优势，在扩大国际合作中提升开放能力，建设更高水平开放型经济新体制。要稳步扩大制度型开放，深化外贸体制改革，深化外商投资和对外投资管理体制改革，优化区域开放布局，完善推进高质量共建“一带一路”机制。</w:t>
      </w:r>
    </w:p>
    <w:p w14:paraId="5177908E">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会提出，发展全过程人民民主是中国式现代化的本质要求。必须坚定不移走中国特色社会主义政治发展道路，坚持和完善我国根本政治制度、基本政治制度、重要政治制度，丰富各层级民主形式，把人民当家作主具体、现实体现到国家政治生活和社会生活各方面。要加强人民当家作主制度建设，健全协商民主机制，健全基层民主制度，完善大统战工作格局。</w:t>
      </w:r>
    </w:p>
    <w:p w14:paraId="79716918">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会提出，法治是中国式现代化的重要保障。必须全面贯彻实施宪法，维护宪法权威，协同推进立法、执法、司法、守法各环节改革，健全法律面前人人平等保障机制，弘扬社会主义法治精神，维护社会公平正义，全面推进国家各方面工作法治化。要深化立法领域改革，深入推进依法行政，健全公正执法司法体制机制，完善推进法治社会建设机制，加强涉外法治建设。</w:t>
      </w:r>
    </w:p>
    <w:p w14:paraId="33022C6E">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会提出，中国式现代化是物质文明和精神文明相协调的现代化。必须增强文化自信，发展社会主义先进文化，弘扬革命文化，传承中华优秀传统文化，加快适应信息技术迅猛发展新形势，培育形成规模宏大的优秀文化人才队伍，激发全民族文化创新创造活力。要完善意识形态工作责任制，优化文化服务和文化产品供给机制，健全网络综合治理体系，构建更有效力的国际传播体系。</w:t>
      </w:r>
    </w:p>
    <w:p w14:paraId="62E080B8">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会提出，在发展中保障和改善民生是中国式现代化的重大任务。必须坚持尽力而为、量力而行，完善基本公共服务制度体系，加强普惠性、基础性、兜底性民生建设，解决好人民最关心最直接最现实的利益问题，不断满足人民对美好生活的向往。要完善收入分配制度，完善就业优先政策，健全社会保障体系，深化医药卫生体制改革，健全人口发展支持和服务体系。</w:t>
      </w:r>
    </w:p>
    <w:p w14:paraId="06F5CDC5">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会提出，中国式现代化是人与自然和谐共生的现代化。必须完善生态文明制度体系，协同推进降碳、减污、扩绿、增长，积极应对气候变化，加快完善落实绿水青山就是金山银山理念的体制机制。要完善生态文明基础体制，健全生态环境治理体系，健全绿色低碳发展机制。</w:t>
      </w:r>
    </w:p>
    <w:p w14:paraId="280418FF">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会提出，国家安全是中国式现代化行稳致远的重要基础。必须全面贯彻总体国家安全观，完善维护国家安全体制机制，实现高质量发展和高水平安全良性互动，切实保障国家长治久安。要健全国家安全体系，完善公共安全治理机制，健全社会治理体系，完善涉外国家安全机制。</w:t>
      </w:r>
    </w:p>
    <w:p w14:paraId="66D7FD46">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会提出，国防和军队现代化是中国式现代化的重要组成部分。必须坚持党对人民军队的绝对领导，深入实施改革强军战略，为如期实现建军一百年奋斗目标、基本实现国防和军队现代化提供有力保障。要完善人民军队领导管理体制机制，深化联合作战体系改革，深化跨军地改革。</w:t>
      </w:r>
    </w:p>
    <w:p w14:paraId="74DE253B">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会强调，党的领导是进一步全面深化改革、推进中国式现代化的根本保证。必须深刻领悟“两个确立”的决定性意义，增强“四个意识”、坚定“四个自信”、做到“两个维护”，保持以党的自我革命引领社会革命的高度自觉，坚持用改革精神和严的标准管党治党，完善党的自我革命制度规范体系，不断推进党的自我净化、自我完善、自我革新、自我提高，确保党始终成为中国特色社会主义事业的坚强领导核心。要坚持党中央对进一步全面深化改革的集中统一领导，深化党的建设制度改革，深入推进党风廉政建设和反腐败斗争，以钉钉子精神抓好改革落实。</w:t>
      </w:r>
    </w:p>
    <w:p w14:paraId="63AB4A05">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会强调，中国式现代化是走和平发展道路的现代化。必须坚定奉行独立自主的和平外交政策，推动构建人类命运共同体，践行全人类共同价值，落实全球发展倡议、全球安全倡议、全球文明倡议，倡导平等有序的世界多极化、普惠包容的经济全球化，深化外事工作机制改革，参与引领全球治理体系改革和建设，坚定维护国家主权、安全、发展利益。</w:t>
      </w:r>
    </w:p>
    <w:p w14:paraId="32B80250">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会指出，学习好贯彻好全会精神是当前和今后一个时期全党全国的一项重大政治任务。要深入学习领会全会精神，深刻领会和把握进一步全面深化改革的主题、重大原则、重大举措、根本保证。全党上下要齐心协力抓好《决定》贯彻落实，把进一步全面深化改革的战略部署转化为推进中国式现代化的强大力量。</w:t>
      </w:r>
    </w:p>
    <w:p w14:paraId="433A9464">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会分析了当前形势和任务，强调坚定不移实现全年经济社会发展目标。要按照党中央关于经济工作的决策部署，落实好宏观政策，积极扩大国内需求，因地制宜发展新质生产力，加快培育外贸新动能，扎实推进绿色低碳发展，切实保障和改善民生，巩固拓展脱贫攻坚成果。要总结评估“十四五”规划落实情况，切实搞好“十五五”规划前期谋划工作。</w:t>
      </w:r>
    </w:p>
    <w:p w14:paraId="0AF2B7BA">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会指出，要统筹好发展和安全，落实好防范化解房地产、地方政府债务、中小金融机构等重点领域风险的各项举措，严格落实安全生产责任，完善自然灾害特别是洪涝灾害监测、防控措施，织密社会安全风险防控网，切实维护社会稳定。要加强舆论引导，有效防范化解意识形态风险。要有效应对外部风险挑战，引领全球治理，主动塑造有利外部环境。</w:t>
      </w:r>
    </w:p>
    <w:p w14:paraId="7690153D">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会强调，要结合学习宣传贯彻全会精神，抓好党的创新理论武装，提高全党马克思主义水平和现代化建设能力。要健全全面从严治党体系，切实改进作风，克服形式主义、官僚主义顽疾，持续为基层减负，深入推进党风廉政建设和反腐败斗争，扎实做好巡视工作。要巩固拓展主题教育成果，深化党纪学习教育，维护党的团结统一，不断增强党的创造力、凝聚力、战斗力。</w:t>
      </w:r>
    </w:p>
    <w:p w14:paraId="323ED842">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全会按照党章规定，决定递补中央委员会候补委员丁向群、于立军、于吉红为中央委员会委员。</w:t>
      </w:r>
    </w:p>
    <w:p w14:paraId="5208D10B">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全会决定，接受秦刚同志辞职申请，免去秦刚同志中央委员会委员职务。</w:t>
      </w:r>
    </w:p>
    <w:p w14:paraId="556214BD">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全会审议并通过了中共中央军事委员会关于李尚福、李玉超、孙金明严重违纪违法问题的审查报告，确认中央政治局之前作出的给予李尚福、李玉超、孙金明开除党籍的处分。</w:t>
      </w:r>
    </w:p>
    <w:p w14:paraId="01AE3F66">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会号召，全党全军全国各族人民要更加紧密地团结在以习近平同志为核心的党中央周围，高举改革开放旗帜，凝心聚力、奋发进取，为全面建成社会主义现代化强国、实现第二个百年奋斗目标，以中国式现代化全面推进中华民族伟大复兴而努力奋斗！</w:t>
      </w:r>
    </w:p>
    <w:p w14:paraId="65F26CE2">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p>
    <w:p w14:paraId="29AE2267">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sectPr>
          <w:footerReference r:id="rId3" w:type="default"/>
          <w:pgSz w:w="11906" w:h="16838"/>
          <w:pgMar w:top="1984" w:right="1474" w:bottom="1644" w:left="1474" w:header="851" w:footer="992" w:gutter="0"/>
          <w:paperSrc/>
          <w:pgNumType w:fmt="decimal" w:start="1"/>
          <w:cols w:space="0" w:num="1"/>
          <w:rtlGutter w:val="0"/>
          <w:docGrid w:type="lines" w:linePitch="312" w:charSpace="0"/>
        </w:sectPr>
      </w:pPr>
      <w:r>
        <w:rPr>
          <w:rFonts w:hint="eastAsia" w:ascii="方正仿宋_GBK" w:hAnsi="方正仿宋_GBK" w:eastAsia="方正仿宋_GBK" w:cs="方正仿宋_GBK"/>
          <w:color w:val="auto"/>
          <w:sz w:val="32"/>
          <w:szCs w:val="32"/>
        </w:rPr>
        <w:t>发布时间：2024年07月18日 16:30 来源：新华社</w:t>
      </w:r>
    </w:p>
    <w:p w14:paraId="2F90CAF4">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5" w:name="_Toc23764"/>
      <w:bookmarkStart w:id="6" w:name="_Toc379"/>
      <w:r>
        <w:rPr>
          <w:rFonts w:hint="eastAsia" w:ascii="方正小标宋_GBK" w:hAnsi="方正小标宋_GBK" w:eastAsia="方正小标宋_GBK" w:cs="方正小标宋_GBK"/>
          <w:color w:val="auto"/>
          <w:sz w:val="36"/>
          <w:szCs w:val="36"/>
          <w:lang w:val="en-US" w:eastAsia="zh-CN"/>
        </w:rPr>
        <w:t>学习内容二：</w:t>
      </w:r>
      <w:bookmarkEnd w:id="5"/>
      <w:bookmarkEnd w:id="6"/>
    </w:p>
    <w:p w14:paraId="4F1B3DCF">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36"/>
          <w:szCs w:val="36"/>
          <w:lang w:val="en-US" w:eastAsia="zh-CN"/>
        </w:rPr>
      </w:pPr>
      <w:bookmarkStart w:id="7" w:name="_Toc21573"/>
      <w:r>
        <w:rPr>
          <w:rFonts w:hint="eastAsia" w:ascii="方正小标宋_GBK" w:hAnsi="方正小标宋_GBK" w:eastAsia="方正小标宋_GBK" w:cs="方正小标宋_GBK"/>
          <w:color w:val="auto"/>
          <w:sz w:val="36"/>
          <w:szCs w:val="36"/>
          <w:lang w:val="en-US" w:eastAsia="zh-CN"/>
        </w:rPr>
        <w:t>中共中央关于进一步全面深化改革 推进中国式现代化的决定</w:t>
      </w:r>
      <w:bookmarkEnd w:id="7"/>
    </w:p>
    <w:p w14:paraId="441BB74A">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jc w:val="center"/>
        <w:textAlignment w:val="auto"/>
        <w:rPr>
          <w:rFonts w:hint="eastAsia" w:ascii="方正仿宋_GBK" w:hAnsi="方正仿宋_GBK" w:eastAsia="方正仿宋_GBK" w:cs="方正仿宋_GBK"/>
          <w:spacing w:val="-3"/>
          <w:sz w:val="31"/>
          <w:szCs w:val="31"/>
          <w:lang w:eastAsia="zh-CN"/>
        </w:rPr>
      </w:pPr>
      <w:r>
        <w:rPr>
          <w:rFonts w:hint="eastAsia" w:ascii="方正楷体_GBK" w:hAnsi="方正楷体_GBK" w:eastAsia="方正楷体_GBK" w:cs="方正楷体_GBK"/>
          <w:color w:val="auto"/>
          <w:sz w:val="32"/>
          <w:szCs w:val="32"/>
          <w:lang w:val="en-US" w:eastAsia="zh-CN"/>
        </w:rPr>
        <w:t>（2024年7月18日中国共产党第二十届中央委员会第三次全体会议通过）</w:t>
      </w:r>
    </w:p>
    <w:p w14:paraId="22FE97EB">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p>
    <w:p w14:paraId="44EF31C2">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为贯彻落实党的二十大作出的战略部署，二十届中央委员会第三次全体会议研究了进一步全面深化改革、推进中国式现代化问题，作出如下决定。</w:t>
      </w:r>
    </w:p>
    <w:p w14:paraId="59B4361C">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黑体_GBK" w:hAnsi="方正黑体_GBK" w:eastAsia="方正黑体_GBK" w:cs="方正黑体_GBK"/>
          <w:spacing w:val="-3"/>
          <w:sz w:val="31"/>
          <w:szCs w:val="31"/>
        </w:rPr>
      </w:pPr>
      <w:r>
        <w:rPr>
          <w:rFonts w:hint="eastAsia" w:ascii="方正黑体_GBK" w:hAnsi="方正黑体_GBK" w:eastAsia="方正黑体_GBK" w:cs="方正黑体_GBK"/>
          <w:spacing w:val="-3"/>
          <w:sz w:val="31"/>
          <w:szCs w:val="31"/>
        </w:rPr>
        <w:t>一、进一步全面深化改革、推进中国式现代化的重大意义和总体要求</w:t>
      </w:r>
    </w:p>
    <w:p w14:paraId="702A1D34">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1）进一步全面深化改革的重要性和必要性。改革开放是党和人民事业大踏步赶上时代的重要法宝。党的十一届三中全会是划时代的，开启了改革开放和社会主义现代化建设新时期。党的十八届三中全会也是划时代的，开启了新时代全面深化改革、系统整体设计推进改革新征程，开创了我国改革开放全新局面。</w:t>
      </w:r>
    </w:p>
    <w:p w14:paraId="533705A0">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以习近平同志为核心的党中央团结带领全党全军全国各族人民，以伟大的历史主动、巨大的政治勇气、强烈的责任担当，冲破思想观念束缚，突破利益固化藩篱，敢于突进深水区，敢于啃硬骨头，敢于涉险滩，坚决破除各方面体制机制弊端，实现改革由局部探索、破冰突围到系统集成、全面深化的转变，各领域基础性制度框架基本建立，许多领域实现历史性变革、系统性重塑、整体性重构，总体完成党的十八届三中全会确定的改革任务，实现到党成立一百周年时各方面制度更加成熟更加定型取得明显成效的目标，为全面建成小康社会、实现党的第一个百年奋斗目标提供有力制度保障，推动我国迈上全面建设社会主义现代化国家新征程。</w:t>
      </w:r>
    </w:p>
    <w:p w14:paraId="26AF61A9">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当前和今后一个时期是以中国式现代化全面推进强国建设、民族复兴伟业的关键时期。中国式现代化是在改革开放中不断推进的，也必将在改革开放中开辟广阔前景。面对纷繁复杂的国际国内形势，面对新一轮科技革命和产业变革，面对人民群众新期待，必须继续把改革推向前进。这是坚持和完善中国特色社会主义制度、推进国家治理体系和治理能力现代化的必然要求，是贯彻新发展理念、更好适应我国社会主要矛盾变化的必然要求，是坚持以人民为中心、让现代化建设成果更多更公平惠及全体人民的必然要求，是应对重大风险挑战、推动党和国家事业行稳致远的必然要求，是推动构建人类命运共同体、在百年变局加速演进中赢得战略主动的必然要求，是深入推进新时代党的建设新的伟大工程、建设更加坚强有力的马克思主义政党的必然要求。改革开放只有进行时，没有完成时。全党必须自觉把改革摆在更加突出位置，紧紧围绕推进中国式现代化进一步全面深化改革。</w:t>
      </w:r>
    </w:p>
    <w:p w14:paraId="0EDA34B5">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2）进一步全面深化改革的指导思想。坚持马克思列宁主义、毛泽东思想、邓小平理论、“三个代表”重要思想、科学发展观，全面贯彻习近平新时代中国特色社会主义思想，深入学习贯彻习近平总书记关于全面深化改革的一系列新思想、新观点、新论断，完整准确全面贯彻新发展理念，坚持稳中求进工作总基调，坚持解放思想、实事求是、与时俱进、求真务实，进一步解放和发展社会生产力、激发和增强社会活力，统筹国内国际两个大局，统筹推进“五位一体”总体布局，协调推进“四个全面”战略布局，以经济体制改革为牵引，以促进社会公平正义、增进人民福祉为出发点和落脚点，更加注重系统集成，更加注重突出重点，更加注重改革实效，推动生产关系和生产力、上层建筑和经济基础、国家治理和社会发展更好相适应，为中国式现代化提供强大动力和制度保障。</w:t>
      </w:r>
    </w:p>
    <w:p w14:paraId="4DDE5B5E">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3）进一步全面深化改革的总目标。继续完善和发展中国特色社会主义制度，推进国家治理体系和治理能力现代化。到二〇三五年，全面建成高水平社会主义市场经济体制，中国特色社会主义制度更加完善，基本实现国家治理体系和治理能力现代化，基本实现社会主义现代化，为到本世纪中叶全面建成社会主义现代化强国奠定坚实基础。</w:t>
      </w:r>
    </w:p>
    <w:p w14:paraId="31FBD33F">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聚焦构建高水平社会主义市场经济体制，充分发挥市场在资源配置中的决定性作用，更好发挥政府作用，坚持和完善社会主义基本经济制度，推进高水平科技自立自强，推进高水平对外开放，建成现代化经济体系，加快构建新发展格局，推动高质量发展。</w:t>
      </w:r>
    </w:p>
    <w:p w14:paraId="36CB596B">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聚焦发展全过程人民民主，坚持党的领导、人民当家作主、依法治国有机统一，推动人民当家作主制度更加健全、协商民主广泛多层制度化发展、中国特色社会主义法治体系更加完善，社会主义法治国家建设达到更高水平。</w:t>
      </w:r>
    </w:p>
    <w:p w14:paraId="32E9B715">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——聚焦建设社会主义文化强国，坚持马克思主义在意识形态领域指导地位的根本制度，健全文化事业、文化产业发展体制机制，推动文化繁荣，丰富人民精神文化生活，提升国家文化软实力和中华文化影响力。</w:t>
      </w:r>
    </w:p>
    <w:p w14:paraId="33623BFD">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——聚焦提高人民生活品质，完善收入分配和就业制度，健全社会保障体系，增强基本公共服务均衡性和可及性，推动人的全面发展、全体人民共同富裕取得更为明显的实质性进展。</w:t>
      </w:r>
    </w:p>
    <w:p w14:paraId="4C782F93">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——聚焦建设美丽中国，加快经济社会发展全面绿色转型，健全生态环境治理体系，推进生态优先、节约集约、绿色低碳发展，促进人与自然和谐共生。</w:t>
      </w:r>
    </w:p>
    <w:p w14:paraId="5A61C189">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——聚焦建设更高水平平安中国，健全国家安全体系，强化一体化国家战略体系，增强维护国家安全能力，创新社会治理体制机制和手段，有效构建新安全格局。</w:t>
      </w:r>
    </w:p>
    <w:p w14:paraId="5A9D9280">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——聚焦提高党的领导水平和长期执政能力，创新和改进领导方式和执政方式，深化党的建设制度改革，健全全面从严治党体系。</w:t>
      </w:r>
    </w:p>
    <w:p w14:paraId="3C45DA08">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到二〇二九年中华人民共和国成立八十周年时，完成本决定提出的改革任务。</w:t>
      </w:r>
    </w:p>
    <w:p w14:paraId="2A93B9AA">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4）进一步全面深化改革的原则。总结和运用改革开放以来特别是新时代全面深化改革的宝贵经验，贯彻以下原则：坚持党的全面领导，坚定维护党中央权威和集中统一领导，发挥党总揽全局、协调各方的领导核心作用，把党的领导贯穿改革各方面全过程，确保改革始终沿着正确政治方向前进；坚持以人民为中心，尊重人民主体地位和首创精神，人民有所呼、改革有所应，做到改革为了人民、改革依靠人民、改革成果由人民共享；坚持守正创新，坚持中国特色社会主义不动摇，紧跟时代步伐，顺应实践发展，突出问题导向，在新的起点上推进理论创新、实践创新、制度创新、文化创新以及其他各方面创新；坚持以制度建设为主线，加强顶层设计、总体谋划，破立并举、先立后破，筑牢根本制度，完善基本制度，创新重要制度；坚持全面依法治国，在法治轨道上深化改革、推进中国式现代化，做到改革和法治相统一，重大改革于法有据、及时把改革成果上升为法律制度；坚持系统观念，处理好经济和社会、政府和市场、效率和公平、活力和秩序、发展和安全等重大关系，增强改革系统性、整体性、协同性。</w:t>
      </w:r>
    </w:p>
    <w:p w14:paraId="67651D3E">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黑体_GBK" w:hAnsi="方正黑体_GBK" w:eastAsia="方正黑体_GBK" w:cs="方正黑体_GBK"/>
          <w:spacing w:val="-3"/>
          <w:sz w:val="31"/>
          <w:szCs w:val="31"/>
        </w:rPr>
      </w:pPr>
      <w:r>
        <w:rPr>
          <w:rFonts w:hint="eastAsia" w:ascii="方正黑体_GBK" w:hAnsi="方正黑体_GBK" w:eastAsia="方正黑体_GBK" w:cs="方正黑体_GBK"/>
          <w:spacing w:val="-3"/>
          <w:sz w:val="31"/>
          <w:szCs w:val="31"/>
        </w:rPr>
        <w:t>二、构建高水平社会主义市场经济体制</w:t>
      </w:r>
    </w:p>
    <w:p w14:paraId="79482957">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高水平社会主义市场经济体制是中国式现代化的重要保障。必须更好发挥市场机制作用，创造更加公平、更有活力的市场环境，实现资源配置效率最优化和效益最大化，既“放得活”又“管得住”，更好维护市场秩序、弥补市场失灵，畅通国民经济循环，激发全社会内生动力和创新活力。</w:t>
      </w:r>
    </w:p>
    <w:p w14:paraId="508B64D2">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5）坚持和落实“两个毫不动摇”。毫不动摇巩固和发展公有制经济，毫不动摇鼓励、支持、引导非公有制经济发展，保证各种所有制经济依法平等使用生产要素、公平参与市场竞争、同等受到法律保护，促进各种所有制经济优势互补、共同发展。</w:t>
      </w:r>
    </w:p>
    <w:p w14:paraId="45D49A8E">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深化国资国企改革，完善管理监督体制机制，增强各有关管理部门战略协同，推进国有经济布局优化和结构调整，推动国有资本和国有企业做强做优做大，增强核心功能，提升核心竞争力。进一步明晰不同类型国有企业功能定位，完善主责主业管理，明确国有资本重点投资领域和方向。推动国有资本向关系国家安全、国民经济命脉的重要行业和关键领域集中，向关系国计民生的公共服务、应急能力、公益性领域等集中，向前瞻性战略性新兴产业集中。健全国有企业推进原始创新制度安排。深化国有资本投资、运营公司改革。建立国有企业履行战略使命评价制度，完善国有企业分类考核评价体系，开展国有经济增加值核算。推进能源、铁路、电信、水利、公用事业等行业自然垄断环节独立运营和竞争性环节市场化改革，健全监管体制机制。</w:t>
      </w:r>
    </w:p>
    <w:p w14:paraId="249ED456">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坚持致力于为非公有制经济发展营造良好环境和提供更多机会的方针政策。制定民营经济促进法。深入破除市场准入壁垒，推进基础设施竞争性领域向经营主体公平开放，完善民营企业参与国家重大项目建设长效机制。支持有能力的民营企业牵头承担国家重大技术攻关任务，向民营企业进一步开放国家重大科研基础设施。完善民营企业融资支持政策制度，破解融资难、融资贵问题。健全涉企收费长效监管和拖欠企业账款清偿法律法规体系。加快建立民营企业信用状况综合评价体系，健全民营中小企业增信制度。支持引导民营企业完善治理结构和管理制度，加强企业合规建设和廉洁风险防控。加强事中事后监管，规范涉民营企业行政检查。</w:t>
      </w:r>
    </w:p>
    <w:p w14:paraId="680346A3">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完善中国特色现代企业制度，弘扬企业家精神，支持和引导各类企业提高资源要素利用效率和经营管理水平、履行社会责任，加快建设更多世界一流企业。</w:t>
      </w:r>
    </w:p>
    <w:p w14:paraId="03277810">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6）构建全国统一大市场。推动市场基础制度规则统一、市场监管公平统一、市场设施高标准联通。加强公平竞争审查刚性约束，强化反垄断和反不正当竞争，清理和废除妨碍全国统一市场和公平竞争的各种规定和做法。规范地方招商引资法规制度，严禁违法违规给予政策优惠行为。建立健全统一规范、信息共享的招标投标和政府、事业单位、国有企业采购等公共资源交易平台体系，实现项目全流程公开管理。提升市场综合监管能力和水平。健全国家标准体系，深化地方标准管理制度改革。</w:t>
      </w:r>
    </w:p>
    <w:p w14:paraId="57133E10">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完善要素市场制度和规则，推动生产要素畅通流动、各类资源高效配置、市场潜力充分释放。构建城乡统一的建设用地市场。完善促进资本市场规范发展基础制度。培育全国一体化技术和数据市场。完善主要由市场供求关系决定要素价格机制，防止政府对价格形成的不当干预。健全劳动、资本、土地、知识、技术、管理、数据等生产要素由市场评价贡献、按贡献决定报酬的机制。推进水、能源、交通等领域价格改革，优化居民阶梯水价、电价、气价制度，完善成品油定价机制。</w:t>
      </w:r>
    </w:p>
    <w:p w14:paraId="661EB55E">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完善流通体制，加快发展物联网，健全一体衔接的流通规则和标准，降低全社会物流成本。深化能源管理体制改革，建设全国统一电力市场，优化油气管网运行调度机制。</w:t>
      </w:r>
    </w:p>
    <w:p w14:paraId="406D4994">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加快培育完整内需体系，建立政府投资支持基础性、公益性、长远性重大项目建设长效机制，健全政府投资有效带动社会投资体制机制，深化投资审批制度改革，完善激发社会资本投资活力和促进投资落地机制，形成市场主导的有效投资内生增长机制。完善扩大消费长效机制，减少限制性措施，合理增加公共消费，积极推进首发经济。</w:t>
      </w:r>
    </w:p>
    <w:p w14:paraId="63429D29">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7）完善市场经济基础制度。完善产权制度，依法平等长久保护各种所有制经济产权，建立高效的知识产权综合管理体制。完善市场信息披露制度，构建商业秘密保护制度。对侵犯各种所有制经济产权和合法利益的行为实行同责同罪同罚，完善惩罚性赔偿制度。加强产权执法司法保护，防止和纠正利用行政、刑事手段干预经济纠纷，健全依法甄别纠正涉企冤错案件机制。</w:t>
      </w:r>
    </w:p>
    <w:p w14:paraId="28DE0F6E">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完善市场准入制度，优化新业态新领域市场准入环境。深化注册资本认缴登记制度改革，实行依法按期认缴。健全企业破产机制，探索建立个人破产制度，推进企业注销配套改革，完善企业退出制度。健全社会信用体系和监管制度。</w:t>
      </w:r>
    </w:p>
    <w:p w14:paraId="2FE6BF92">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黑体_GBK" w:hAnsi="方正黑体_GBK" w:eastAsia="方正黑体_GBK" w:cs="方正黑体_GBK"/>
          <w:spacing w:val="-3"/>
          <w:sz w:val="31"/>
          <w:szCs w:val="31"/>
        </w:rPr>
      </w:pPr>
      <w:r>
        <w:rPr>
          <w:rFonts w:hint="eastAsia" w:ascii="方正黑体_GBK" w:hAnsi="方正黑体_GBK" w:eastAsia="方正黑体_GBK" w:cs="方正黑体_GBK"/>
          <w:spacing w:val="-3"/>
          <w:sz w:val="31"/>
          <w:szCs w:val="31"/>
        </w:rPr>
        <w:t>三、健全推动经济高质量发展体制机制</w:t>
      </w:r>
    </w:p>
    <w:p w14:paraId="151E0599">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高质量发展是全面建设社会主义现代化国家的首要任务。必须以新发展理念引领改革，立足新发展阶段，深化供给侧结构性改革，完善推动高质量发展激励约束机制，塑造发展新动能新优势。</w:t>
      </w:r>
    </w:p>
    <w:p w14:paraId="6C20068F">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8）健全因地制宜发展新质生产力体制机制。推动技术革命性突破、生产要素创新性配置、产业深度转型升级，推动劳动者、劳动资料、劳动对象优化组合和更新跃升，催生新产业、新模式、新动能，发展以高技术、高效能、高质量为特征的生产力。加强关键共性技术、前沿引领技术、现代工程技术、颠覆性技术创新，加强新领域新赛道制度供给，建立未来产业投入增长机制，完善推动新一代信息技术、人工智能、航空航天、新能源、新材料、高端装备、生物医药、量子科技等战略性产业发展政策和治理体系，引导新兴产业健康有序发展。以国家标准提升引领传统产业优化升级，支持企业用数智技术、绿色技术改造提升传统产业。强化环保、安全等制度约束。</w:t>
      </w:r>
    </w:p>
    <w:p w14:paraId="3C0379A0">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健全相关规则和政策，加快形成同新质生产力更相适应的生产关系，促进各类先进生产要素向发展新质生产力集聚，大幅提升全要素生产率。鼓励和规范发展天使投资、风险投资、私募股权投资，更好发挥政府投资基金作用，发展耐心资本。</w:t>
      </w:r>
    </w:p>
    <w:p w14:paraId="309485BE">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9）健全促进实体经济和数字经济深度融合制度。加快推进新型工业化，培育壮大先进制造业集群，推动制造业高端化、智能化、绿色化发展。建设一批行业共性技术平台，加快产业模式和企业组织形态变革，健全提升优势产业领先地位体制机制。优化重大产业基金运作和监管机制，确保资金投向符合国家战略要求。建立保持制造业合理比重投入机制，合理降低制造业综合成本和税费负担。</w:t>
      </w:r>
    </w:p>
    <w:p w14:paraId="0E0B9BBD">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加快构建促进数字经济发展体制机制，完善促进数字产业化和产业数字化政策体系。加快新一代信息技术全方位全链条普及应用，发展工业互联网，打造具有国际竞争力的数字产业集群。促进平台经济创新发展，健全平台经济常态化监管制度。建设和运营国家数据基础设施，促进数据共享。加快建立数据产权归属认定、市场交易、权益分配、利益保护制度，提升数据安全治理监管能力，建立高效便利安全的数据跨境流动机制。</w:t>
      </w:r>
    </w:p>
    <w:p w14:paraId="5814D4AC">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10）完善发展服务业体制机制。完善支持服务业发展政策体系，优化服务业核算，推进服务业标准化建设。聚焦重点环节分领域推进生产性服务业高质量发展，发展产业互联网平台，破除跨地区经营行政壁垒，推进生产性服务业融合发展。健全加快生活性服务业多样化发展机制。完善中介服务机构法规制度体系，促进中介服务机构诚实守信、依法履责。</w:t>
      </w:r>
    </w:p>
    <w:p w14:paraId="1F742749">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11）健全现代化基础设施建设体制机制。构建新型基础设施规划和标准体系，健全新型基础设施融合利用机制，推进传统基础设施数字化改造，拓宽多元化投融资渠道，健全重大基础设施建设协调机制。深化综合交通运输体系改革，推进铁路体制改革，发展通用航空和低空经济，推动收费公路政策优化。提高航运保险承保能力和全球服务水平，推进海事仲裁制度规则创新。健全重大水利工程建设、运行、管理机制。</w:t>
      </w:r>
    </w:p>
    <w:p w14:paraId="184D67DB">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12）健全提升产业链供应链韧性和安全水平制度。抓紧打造自主可控的产业链供应链，健全强化集成电路、工业母机、医疗装备、仪器仪表、基础软件、工业软件、先进材料等重点产业链发展体制机制，全链条推进技术攻关、成果应用。建立产业链供应链安全风险评估和应对机制。完善产业在国内梯度有序转移的协作机制，推动转出地和承接地利益共享。建设国家战略腹地和关键产业备份。加快完善国家储备体系。完善战略性矿产资源探产供储销统筹和衔接体系。</w:t>
      </w:r>
    </w:p>
    <w:p w14:paraId="083A7106">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黑体_GBK" w:hAnsi="方正黑体_GBK" w:eastAsia="方正黑体_GBK" w:cs="方正黑体_GBK"/>
          <w:spacing w:val="-3"/>
          <w:sz w:val="31"/>
          <w:szCs w:val="31"/>
        </w:rPr>
      </w:pPr>
      <w:r>
        <w:rPr>
          <w:rFonts w:hint="eastAsia" w:ascii="方正黑体_GBK" w:hAnsi="方正黑体_GBK" w:eastAsia="方正黑体_GBK" w:cs="方正黑体_GBK"/>
          <w:spacing w:val="-3"/>
          <w:sz w:val="31"/>
          <w:szCs w:val="31"/>
        </w:rPr>
        <w:t>四、构建支持全面创新体制机制</w:t>
      </w:r>
    </w:p>
    <w:p w14:paraId="286A28CA">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教育、科技、人才是中国式现代化的基础性、战略性支撑。必须深入实施科教兴国战略、人才强国战略、创新驱动发展战略，统筹推进教育科技人才体制机制一体改革，健全新型举国体制，提升国家创新体系整体效能。</w:t>
      </w:r>
    </w:p>
    <w:p w14:paraId="0406953C">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13）深化教育综合改革。加快建设高质量教育体系，统筹推进育人方式、办学模式、管理体制、保障机制改革。完善立德树人机制，推进大中小学思政课一体化改革创新，健全德智体美劳全面培养体系，提升教师教书育人能力，健全师德师风建设长效机制，深化教育评价改革。优化高等教育布局，加快建设中国特色、世界一流的大学和优势学科。分类推进高校改革，建立科技发展、国家战略需求牵引的学科设置调整机制和人才培养模式，超常布局急需学科专业，加强基础学科、新兴学科、交叉学科建设和拔尖人才培养，着力加强创新能力培养。完善高校科技创新机制，提高成果转化效能。强化科技教育和人文教育协同。加快构建职普融通、产教融合的职业教育体系。完善学生实习实践制度。引导规范民办教育发展。推进高水平教育开放，鼓励国外高水平理工类大学来华合作办学。</w:t>
      </w:r>
    </w:p>
    <w:p w14:paraId="16565FC2">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优化区域教育资源配置，建立同人口变化相协调的基本公共教育服务供给机制。完善义务教育优质均衡推进机制，探索逐步扩大免费教育范围。健全学前教育和特殊教育、专门教育保障机制。推进教育数字化，赋能学习型社会建设，加强终身教育保障。</w:t>
      </w:r>
    </w:p>
    <w:p w14:paraId="27BC136E">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14）深化科技体制改革。坚持面向世界科技前沿、面向经济主战场、面向国家重大需求、面向人民生命健康，优化重大科技创新组织机制，统筹强化关键核心技术攻关，推动科技创新力量、要素配置、人才队伍体系化、建制化、协同化。加强国家战略科技力量建设，完善国家实验室体系，优化国家科研机构、高水平研究型大学、科技领军企业定位和布局，推进科技创新央地协同，统筹各类科创平台建设，鼓励和规范发展新型研发机构，发挥我国超大规模市场引领作用，加强创新资源统筹和力量组织，推动科技创新和产业创新融合发展。构建科技安全风险监测预警和应对体系，加强科技基础条件自主保障。健全科技社团管理制度。扩大国际科技交流合作，鼓励在华设立国际科技组织，优化高校、科研院所、科技社团对外专业交流合作管理机制。</w:t>
      </w:r>
    </w:p>
    <w:p w14:paraId="675B53E7">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改进科技计划管理，强化基础研究领域、交叉前沿领域、重点领域前瞻性、引领性布局。加强有组织的基础研究，提高科技支出用于基础研究比重，完善竞争性支持和稳定支持相结合的基础研究投入机制，鼓励有条件的地方、企业、社会组织、个人支持基础研究，支持基础研究选题多样化，鼓励开展高风险、高价值基础研究。深化科技评价体系改革，加强科技伦理治理，严肃整治学术不端行为。</w:t>
      </w:r>
    </w:p>
    <w:p w14:paraId="57FE0E39">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强化企业科技创新主体地位，建立培育壮大科技领军企业机制，加强企业主导的产学研深度融合，建立企业研发准备金制度，支持企业主动牵头或参与国家科技攻关任务。构建促进专精特新中小企业发展壮大机制。鼓励科技型中小企业加大研发投入，提高研发费用加计扣除比例。鼓励和引导高校、科研院所按照先使用后付费方式把科技成果许可给中小微企业使用。</w:t>
      </w:r>
    </w:p>
    <w:p w14:paraId="3D1795B5">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完善中央财政科技经费分配和管理使用机制，健全中央财政科技计划执行和专业机构管理体制。扩大财政科研项目经费“包干制”范围，赋予科学家更大技术路线决定权、更大经费支配权、更大资源调度权。建立专家实名推荐的非共识项目筛选机制。允许科研类事业单位实行比一般事业单位更灵活的管理制度，探索实行企业化管理。</w:t>
      </w:r>
    </w:p>
    <w:p w14:paraId="7B426B87">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深化科技成果转化机制改革，加强国家技术转移体系建设，加快布局建设一批概念验证、中试验证平台，完善首台（套）、首批次、首版次应用政策，加大政府采购自主创新产品力度。加强技术经理人队伍建设。</w:t>
      </w:r>
    </w:p>
    <w:p w14:paraId="5B42EF87">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允许科技人员在科技成果转化收益分配上有更大自主权，建立职务科技成果资产单列管理制度，深化职务科技成果赋权改革。深化高校、科研院所收入分配改革。允许更多符合条件的国有企业以创新创造为导向，在科研人员中开展多种形式中长期激励。</w:t>
      </w:r>
    </w:p>
    <w:p w14:paraId="4B1CB134">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构建同科技创新相适应的科技金融体制，加强对国家重大科技任务和科技型中小企业的金融支持，完善长期资本投早、投小、投长期、投硬科技的支持政策。健全重大技术攻关风险分散机制，建立科技保险政策体系。提高外资在华开展股权投资、风险投资便利性。</w:t>
      </w:r>
    </w:p>
    <w:p w14:paraId="1615FDB6">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15）深化人才发展体制机制改革。实施更加积极、更加开放、更加有效的人才政策，完善人才自主培养机制，加快建设国家高水平人才高地和吸引集聚人才平台。加快建设国家战略人才力量，着力培养造就战略科学家、一流科技领军人才和创新团队，着力培养造就卓越工程师、大国工匠、高技能人才，提高各类人才素质。建设一流产业技术工人队伍。完善人才有序流动机制，促进人才区域合理布局，深化东中西部人才协作。完善青年创新人才发现、选拔、培养机制，更好保障青年科技人员待遇。健全保障科研人员专心科研制度。</w:t>
      </w:r>
    </w:p>
    <w:p w14:paraId="13AAF870">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强化人才激励机制，坚持向用人主体授权、为人才松绑。建立以创新能力、质量、实效、贡献为导向的人才评价体系。打通高校、科研院所和企业人才交流通道。完善海外引进人才支持保障机制，形成具有国际竞争力的人才制度体系。探索建立高技术人才移民制度。</w:t>
      </w:r>
    </w:p>
    <w:p w14:paraId="35AB6478">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黑体_GBK" w:hAnsi="方正黑体_GBK" w:eastAsia="方正黑体_GBK" w:cs="方正黑体_GBK"/>
          <w:spacing w:val="-3"/>
          <w:sz w:val="31"/>
          <w:szCs w:val="31"/>
        </w:rPr>
      </w:pPr>
      <w:r>
        <w:rPr>
          <w:rFonts w:hint="eastAsia" w:ascii="方正黑体_GBK" w:hAnsi="方正黑体_GBK" w:eastAsia="方正黑体_GBK" w:cs="方正黑体_GBK"/>
          <w:spacing w:val="-3"/>
          <w:sz w:val="31"/>
          <w:szCs w:val="31"/>
        </w:rPr>
        <w:t>五、健全宏观经济治理体系</w:t>
      </w:r>
    </w:p>
    <w:p w14:paraId="27AFF055">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科学的宏观调控、有效的政府治理是发挥社会主义市场经济体制优势的内在要求。必须完善宏观调控制度体系，统筹推进财税、金融等重点领域改革，增强宏观政策取向一致性。</w:t>
      </w:r>
    </w:p>
    <w:p w14:paraId="7E9CEC3F">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16）完善国家战略规划体系和政策统筹协调机制。构建国家战略制定和实施机制，加强国家重大战略深度融合，增强国家战略宏观引导、统筹协调功能。健全国家经济社会发展规划制度体系，强化规划衔接落实机制，发挥国家发展规划战略导向作用，强化国土空间规划基础作用，增强专项规划和区域规划实施支撑作用。健全专家参与公共决策制度。</w:t>
      </w:r>
    </w:p>
    <w:p w14:paraId="3043D737">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围绕实施国家发展规划、重大战略促进财政、货币、产业、价格、就业等政策协同发力，优化各类增量资源配置和存量结构调整。探索实行国家宏观资产负债表管理。把经济政策和非经济性政策都纳入宏观政策取向一致性评估。健全预期管理机制。健全支撑高质量发展的统计指标核算体系，加强新经济新领域纳统覆盖。加强产业活动单位统计基础建设，优化总部和分支机构统计办法，逐步推广经营主体活动发生地统计。健全国际宏观政策协调机制。</w:t>
      </w:r>
    </w:p>
    <w:p w14:paraId="5A642C33">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17）深化财税体制改革。健全预算制度，加强财政资源和预算统筹，把依托行政权力、政府信用、国有资源资产获取的收入全部纳入政府预算管理。完善国有资本经营预算和绩效评价制度，强化国家重大战略任务和基本民生财力保障。强化对预算编制和财政政策的宏观指导。加强公共服务绩效管理，强化事前功能评估。深化零基预算改革。统一预算分配权，提高预算管理统一性、规范性，完善预算公开和监督制度。完善权责发生制政府综合财务报告制度。</w:t>
      </w:r>
    </w:p>
    <w:p w14:paraId="09044E20">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健全有利于高质量发展、社会公平、市场统一的税收制度，优化税制结构。研究同新业态相适应的税收制度。全面落实税收法定原则，规范税收优惠政策，完善对重点领域和关键环节支持机制。健全直接税体系，完善综合和分类相结合的个人所得税制度，规范经营所得、资本所得、财产所得税收政策，实行劳动性所得统一征税。深化税收征管改革。</w:t>
      </w:r>
    </w:p>
    <w:p w14:paraId="4904B0CC">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建立权责清晰、财力协调、区域均衡的中央和地方财政关系。增加地方自主财力，拓展地方税源，适当扩大地方税收管理权限。完善财政转移支付体系，清理规范专项转移支付，增加一般性转移支付，提升市县财力同事权相匹配程度。建立促进高质量发展转移支付激励约束机制。推进消费税征收环节后移并稳步下划地方，完善增值税留抵退税政策和抵扣链条，优化共享税分享比例。研究把城市维护建设税、教育费附加、地方教育附加合并为地方附加税，授权地方在一定幅度内确定具体适用税率。合理扩大地方政府专项债券支持范围，适当扩大用作资本金的领域、规模、比例。完善政府债务管理制度，建立全口径地方债务监测监管体系和防范化解隐性债务风险长效机制，加快地方融资平台改革转型。规范非税收入管理，适当下沉部分非税收入管理权限，由地方结合实际差别化管理。</w:t>
      </w:r>
    </w:p>
    <w:p w14:paraId="5C09C7C9">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适当加强中央事权、提高中央财政支出比例。中央财政事权原则上通过中央本级安排支出，减少委托地方代行的中央财政事权。不得违规要求地方安排配套资金，确需委托地方行使事权的，通过专项转移支付安排资金。</w:t>
      </w:r>
    </w:p>
    <w:p w14:paraId="352C12D0">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18）深化金融体制改革。加快完善中央银行制度，畅通货币政策传导机制。积极发展科技金融、绿色金融、普惠金融、养老金融、数字金融，加强对重大战略、重点领域、薄弱环节的优质金融服务。完善金融机构定位和治理，健全服务实体经济的激励约束机制。发展多元股权融资，加快多层次债券市场发展，提高直接融资比重。优化国有金融资本管理体制。</w:t>
      </w:r>
    </w:p>
    <w:p w14:paraId="51E1AD30">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健全投资和融资相协调的资本市场功能，防风险、强监管，促进资本市场健康稳定发展。支持长期资金入市。提高上市公司质量，强化上市公司监管和退市制度。建立增强资本市场内在稳定性长效机制。完善大股东、实际控制人行为规范约束机制。完善上市公司分红激励约束机制。健全投资者保护机制。推动区域性股权市场规则对接、标准统一。</w:t>
      </w:r>
    </w:p>
    <w:p w14:paraId="21203433">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制定金融法。完善金融监管体系，依法将所有金融活动纳入监管，强化监管责任和问责制度，加强中央和地方监管协同。建设安全高效的金融基础设施，统一金融市场登记托管、结算清算规则制度，建立风险早期纠正硬约束制度，筑牢有效防控系统性风险的金融稳定保障体系。健全金融消费者保护和打击非法金融活动机制，构建产业资本和金融资本“防火墙”。推动金融高水平开放，稳慎扎实推进人民币国际化，发展人民币离岸市场。稳妥推进数字人民币研发和应用。加快建设上海国际金融中心。</w:t>
      </w:r>
    </w:p>
    <w:p w14:paraId="38AC0945">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完善准入前国民待遇加负面清单管理模式，支持符合条件的外资机构参与金融业务试点。稳慎拓展金融市场互联互通，优化合格境外投资者制度。推进自主可控的跨境支付体系建设，强化开放条件下金融安全机制。建立统一的全口径外债监管体系。积极参与国际金融治理。</w:t>
      </w:r>
    </w:p>
    <w:p w14:paraId="54114A97">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19）完善实施区域协调发展战略机制。构建优势互补的区域经济布局和国土空间体系。健全推动西部大开发形成新格局、东北全面振兴取得新突破、中部地区加快崛起、东部地区加快推进现代化的制度和政策体系。推动京津冀、长三角、粤港澳大湾区等地区更好发挥高质量发展动力源作用，优化长江经济带发展、黄河流域生态保护和高质量发展机制。高标准高质量推进雄安新区建设。推动成渝地区双城经济圈建设走深走实。健全主体功能区制度体系，强化国土空间优化发展保障机制。完善区域一体化发展机制，构建跨行政区合作发展新机制，深化东中西部产业协作。完善促进海洋经济发展体制机制。</w:t>
      </w:r>
    </w:p>
    <w:p w14:paraId="371B2A28">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黑体_GBK" w:hAnsi="方正黑体_GBK" w:eastAsia="方正黑体_GBK" w:cs="方正黑体_GBK"/>
          <w:spacing w:val="-3"/>
          <w:sz w:val="31"/>
          <w:szCs w:val="31"/>
        </w:rPr>
      </w:pPr>
      <w:r>
        <w:rPr>
          <w:rFonts w:hint="eastAsia" w:ascii="方正黑体_GBK" w:hAnsi="方正黑体_GBK" w:eastAsia="方正黑体_GBK" w:cs="方正黑体_GBK"/>
          <w:spacing w:val="-3"/>
          <w:sz w:val="31"/>
          <w:szCs w:val="31"/>
        </w:rPr>
        <w:t>六、完善城乡融合发展体制机制</w:t>
      </w:r>
    </w:p>
    <w:p w14:paraId="645238C6">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城乡融合发展是中国式现代化的必然要求。必须统筹新型工业化、新型城镇化和乡村全面振兴，全面提高城乡规划、建设、治理融合水平，促进城乡要素平等交换、双向流动，缩小城乡差别，促进城乡共同繁荣发展。</w:t>
      </w:r>
    </w:p>
    <w:p w14:paraId="2E8F7E35">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20）健全推进新型城镇化体制机制。构建产业升级、人口集聚、城镇发展良性互动机制。推行由常住地登记户口提供基本公共服务制度，推动符合条件的农业转移人口社会保险、住房保障、随迁子女义务教育等享有同迁入地户籍人口同等权利，加快农业转移人口市民化。保障进城落户农民合法土地权益，依法维护进城落户农民的土地承包权、宅基地使用权、集体收益分配权，探索建立自愿有偿退出的办法。</w:t>
      </w:r>
    </w:p>
    <w:p w14:paraId="17A1F6E8">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坚持人民城市人民建、人民城市为人民。健全城市规划体系，引导大中小城市和小城镇协调发展、集约紧凑布局。深化城市建设、运营、治理体制改革，加快转变城市发展方式。推动形成超大特大城市智慧高效治理新体系，建立都市圈同城化发展体制机制。深化赋予特大镇同人口和经济规模相适应的经济社会管理权改革。建立可持续的城市更新模式和政策法规，加强地下综合管廊建设和老旧管线改造升级，深化城市安全韧性提升行动。</w:t>
      </w:r>
    </w:p>
    <w:p w14:paraId="53124966">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21）巩固和完善农村基本经营制度。有序推进第二轮土地承包到期后再延长三十年试点，深化承包地所有权、承包权、经营权分置改革，发展农业适度规模经营。完善农业经营体系，完善承包地经营权流转价格形成机制，促进农民合作经营，推动新型农业经营主体扶持政策同带动农户增收挂钩。健全便捷高效的农业社会化服务体系。发展新型农村集体经济，构建产权明晰、分配合理的运行机制，赋予农民更加充分的财产权益。</w:t>
      </w:r>
    </w:p>
    <w:p w14:paraId="1FD66507">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22）完善强农惠农富农支持制度。坚持农业农村优先发展，完善乡村振兴投入机制。壮大县域富民产业，构建多元化食物供给体系，培育乡村新产业新业态。优化农业补贴政策体系，发展多层次农业保险。完善覆盖农村人口的常态化防止返贫致贫机制，建立农村低收入人口和欠发达地区分层分类帮扶制度。健全脱贫攻坚国家投入形成资产的长效管理机制。运用“千万工程”经验，健全推动乡村全面振兴长效机制。</w:t>
      </w:r>
    </w:p>
    <w:p w14:paraId="2C507755">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加快健全种粮农民收益保障机制，推动粮食等重要农产品价格保持在合理水平。统筹建立粮食产销区省际横向利益补偿机制，在主产区利益补偿上迈出实质步伐。统筹推进粮食购销和储备管理体制机制改革，建立监管新模式。健全粮食和食物节约长效机制。</w:t>
      </w:r>
    </w:p>
    <w:p w14:paraId="0F347573">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23）深化土地制度改革。改革完善耕地占补平衡制度，各类耕地占用纳入统一管理，完善补充耕地质量验收机制，确保达到平衡标准。完善高标准农田建设、验收、管护机制。健全保障耕地用于种植基本农作物管理体系。允许农户合法拥有的住房通过出租、入股、合作等方式盘活利用。有序推进农村集体经营性建设用地入市改革，健全土地增值收益分配机制。</w:t>
      </w:r>
    </w:p>
    <w:p w14:paraId="44A8E02F">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优化土地管理，健全同宏观政策和区域发展高效衔接的土地管理制度，优先保障主导产业、重大项目合理用地，使优势地区有更大发展空间。建立新增城镇建设用地指标配置同常住人口增加协调机制。探索国家集中垦造耕地定向用于特定项目和地区落实占补平衡机制。优化城市工商业土地利用，加快发展建设用地二级市场，推动土地混合开发利用、用途合理转换，盘活存量土地和低效用地。开展各类产业园区用地专项治理。制定工商业用地使用权延期和到期后续期政策。</w:t>
      </w:r>
    </w:p>
    <w:p w14:paraId="63D041EB">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黑体_GBK" w:hAnsi="方正黑体_GBK" w:eastAsia="方正黑体_GBK" w:cs="方正黑体_GBK"/>
          <w:spacing w:val="-3"/>
          <w:sz w:val="31"/>
          <w:szCs w:val="31"/>
        </w:rPr>
      </w:pPr>
      <w:r>
        <w:rPr>
          <w:rFonts w:hint="eastAsia" w:ascii="方正黑体_GBK" w:hAnsi="方正黑体_GBK" w:eastAsia="方正黑体_GBK" w:cs="方正黑体_GBK"/>
          <w:spacing w:val="-3"/>
          <w:sz w:val="31"/>
          <w:szCs w:val="31"/>
        </w:rPr>
        <w:t>七、完善高水平对外开放体制机制</w:t>
      </w:r>
    </w:p>
    <w:p w14:paraId="562B9235">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开放是中国式现代化的鲜明标识。必须坚持对外开放基本国策，坚持以开放促改革，依托我国超大规模市场优势，在扩大国际合作中提升开放能力，建设更高水平开放型经济新体制。</w:t>
      </w:r>
    </w:p>
    <w:p w14:paraId="48E28AE4">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24）稳步扩大制度型开放。主动对接国际高标准经贸规则，在产权保护、产业补贴、环境标准、劳动保护、政府采购、电子商务、金融领域等实现规则、规制、管理、标准相通相容，打造透明稳定可预期的制度环境。扩大自主开放，有序扩大我国商品市场、服务市场、资本市场、劳务市场等对外开放，扩大对最不发达国家单边开放。深化援外体制机制改革，实现全链条管理。</w:t>
      </w:r>
    </w:p>
    <w:p w14:paraId="612CF22C">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维护以世界贸易组织为核心的多边贸易体制，积极参与全球经济治理体系改革，提供更多全球公共产品。扩大面向全球的高标准自由贸易区网络，建立同国际通行规则衔接的合规机制，优化开放合作环境。</w:t>
      </w:r>
    </w:p>
    <w:p w14:paraId="23EF8D47">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25）深化外贸体制改革。强化贸易政策和财税、金融、产业政策协同，打造贸易强国制度支撑和政策支持体系，加快内外贸一体化改革，积极应对贸易数字化、绿色化趋势。推进通关、税务、外汇等监管创新，营造有利于新业态新模式发展的制度环境。创新发展数字贸易，推进跨境电商综合试验区建设。建设大宗商品交易中心，建设全球集散分拨中心，支持各类主体有序布局海外流通设施，支持有条件的地区建设国际物流枢纽中心和大宗商品资源配置枢纽。健全贸易风险防控机制，完善出口管制体系和贸易救济制度。</w:t>
      </w:r>
    </w:p>
    <w:p w14:paraId="6256AAC2">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创新提升服务贸易，全面实施跨境服务贸易负面清单，推进服务业扩大开放综合试点示范，鼓励专业服务机构提升国际化服务能力。加快推进离岸贸易发展，发展新型离岸国际贸易业务。建立健全跨境金融服务体系，丰富金融产品和服务供给。</w:t>
      </w:r>
    </w:p>
    <w:p w14:paraId="5AE71A6D">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26）深化外商投资和对外投资管理体制改革。营造市场化、法治化、国际化一流营商环境，依法保护外商投资权益。扩大鼓励外商投资产业目录，合理缩减外资准入负面清单，落实全面取消制造业领域外资准入限制措施，推动电信、互联网、教育、文化、医疗等领域有序扩大开放。深化外商投资促进体制机制改革，保障外资企业在要素获取、资质许可、标准制定、政府采购等方面的国民待遇，支持参与产业链上下游配套协作。完善境外人员入境居住、医疗、支付等生活便利制度。完善促进和保障对外投资体制机制，健全对外投资管理服务体系，推动产业链供应链国际合作。</w:t>
      </w:r>
    </w:p>
    <w:p w14:paraId="24BC927A">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27）优化区域开放布局。巩固东部沿海地区开放先导地位，提高中西部和东北地区开放水平，加快形成陆海内外联动、东西双向互济的全面开放格局。发挥沿海、沿边、沿江和交通干线等优势，优化区域开放功能分工，打造形态多样的开放高地。实施自由贸易试验区提升战略，鼓励首创性、集成式探索。加快建设海南自由贸易港。</w:t>
      </w:r>
    </w:p>
    <w:p w14:paraId="6EBC3309">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发挥“一国两制”制度优势，巩固提升香港国际金融、航运、贸易中心地位，支持香港、澳门打造国际高端人才集聚高地，健全香港、澳门在国家对外开放中更好发挥作用机制。深化粤港澳大湾区合作，强化规则衔接、机制对接。完善促进两岸经济文化交流合作制度和政策，深化两岸融合发展。</w:t>
      </w:r>
    </w:p>
    <w:p w14:paraId="68C19373">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28）完善推进高质量共建“一带一路”机制。继续实施“一带一路”科技创新行动计划，加强绿色发展、数字经济、人工智能、能源、税收、金融、减灾等领域的多边合作平台建设。完善陆海天网一体化布局，构建“一带一路”立体互联互通网络。统筹推进重大标志性工程和“小而美”民生项目。</w:t>
      </w:r>
    </w:p>
    <w:p w14:paraId="197C3F78">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黑体_GBK" w:hAnsi="方正黑体_GBK" w:eastAsia="方正黑体_GBK" w:cs="方正黑体_GBK"/>
          <w:spacing w:val="-3"/>
          <w:sz w:val="31"/>
          <w:szCs w:val="31"/>
        </w:rPr>
      </w:pPr>
      <w:r>
        <w:rPr>
          <w:rFonts w:hint="eastAsia" w:ascii="方正黑体_GBK" w:hAnsi="方正黑体_GBK" w:eastAsia="方正黑体_GBK" w:cs="方正黑体_GBK"/>
          <w:spacing w:val="-3"/>
          <w:sz w:val="31"/>
          <w:szCs w:val="31"/>
        </w:rPr>
        <w:t>八、健全全过程人民民主制度体系</w:t>
      </w:r>
    </w:p>
    <w:p w14:paraId="29AC5C3F">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发展全过程人民民主是中国式现代化的本质要求。必须坚定不移走中国特色社会主义政治发展道路，坚持和完善我国根本政治制度、基本政治制度、重要政治制度，丰富各层级民主形式，把人民当家作主具体、现实体现到国家政治生活和社会生活各方面。</w:t>
      </w:r>
    </w:p>
    <w:p w14:paraId="0944E84B">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29）加强人民当家作主制度建设。坚持好、完善好、运行好人民代表大会制度。健全人大对行政机关、监察机关、审判机关、检察机关监督制度，完善监督法及其实施机制，强化人大预算决算审查监督和国有资产管理、政府债务管理监督。健全人大议事规则和论证、评估、评议、听证制度。丰富人大代表联系人民群众的内容和形式。健全吸纳民意、汇集民智工作机制。发挥工会、共青团、妇联等群团组织联系服务群众的桥梁纽带作用。</w:t>
      </w:r>
    </w:p>
    <w:p w14:paraId="6B0681F6">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30）健全协商民主机制。发挥人民政协作为专门协商机构作用，健全深度协商互动、意见充分表达、广泛凝聚共识的机制，加强人民政协反映社情民意、联系群众、服务人民机制建设。完善人民政协民主监督机制。</w:t>
      </w:r>
    </w:p>
    <w:p w14:paraId="701D5B88">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完善协商民主体系，丰富协商方式，健全政党协商、人大协商、政府协商、政协协商、人民团体协商、基层协商以及社会组织协商制度化平台，加强各种协商渠道协同配合。健全协商于决策之前和决策实施之中的落实机制，完善协商成果采纳、落实、反馈机制。</w:t>
      </w:r>
    </w:p>
    <w:p w14:paraId="4E32BBA8">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31）健全基层民主制度。健全基层党组织领导的基层群众自治机制，完善基层民主制度体系和工作体系，拓宽基层各类组织和群众有序参与基层治理渠道。完善办事公开制度。健全以职工代表大会为基本形式的企事业单位民主管理制度，完善企业职工参与管理的有效形式。</w:t>
      </w:r>
    </w:p>
    <w:p w14:paraId="51453CDE">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32）完善大统战工作格局。完善发挥统一战线凝聚人心、汇聚力量政治作用的政策举措。坚持好、发展好、完善好中国新型政党制度。更好发挥党外人士作用，健全党外代表人士队伍建设制度。制定民族团结进步促进法，健全铸牢中华民族共同体意识制度机制，增强中华民族凝聚力。系统推进我国宗教中国化，加强宗教事务治理法治化。完善党外知识分子和新的社会阶层人士政治引领机制。全面构建亲清政商关系，健全促进非公有制经济健康发展、非公有制经济人士健康成长工作机制。完善港澳台和侨务工作机制。</w:t>
      </w:r>
    </w:p>
    <w:p w14:paraId="0D07A88D">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黑体_GBK" w:hAnsi="方正黑体_GBK" w:eastAsia="方正黑体_GBK" w:cs="方正黑体_GBK"/>
          <w:spacing w:val="-3"/>
          <w:sz w:val="31"/>
          <w:szCs w:val="31"/>
        </w:rPr>
      </w:pPr>
      <w:r>
        <w:rPr>
          <w:rFonts w:hint="eastAsia" w:ascii="方正黑体_GBK" w:hAnsi="方正黑体_GBK" w:eastAsia="方正黑体_GBK" w:cs="方正黑体_GBK"/>
          <w:spacing w:val="-3"/>
          <w:sz w:val="31"/>
          <w:szCs w:val="31"/>
        </w:rPr>
        <w:t>九、完善中国特色社会主义法治体系</w:t>
      </w:r>
    </w:p>
    <w:p w14:paraId="37C939B8">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法治是中国式现代化的重要保障。必须全面贯彻实施宪法，维护宪法权威，协同推进立法、执法、司法、守法各环节改革，健全法律面前人人平等保障机制，弘扬社会主义法治精神，维护社会公平正义，全面推进国家各方面工作法治化。</w:t>
      </w:r>
    </w:p>
    <w:p w14:paraId="0E905672">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33）深化立法领域改革。完善以宪法为核心的中国特色社会主义法律体系，健全保证宪法全面实施制度体系，建立宪法实施情况报告制度。完善党委领导、人大主导、政府依托、各方参与的立法工作格局。统筹立改废释纂，加强重点领域、新兴领域、涉外领域立法，完善合宪性审查、备案审查制度，提高立法质量。探索区域协同立法。健全党内法规同国家法律法规衔接协调机制。建设全国统一的法律法规和规范性文件信息平台。</w:t>
      </w:r>
    </w:p>
    <w:p w14:paraId="0C56D682">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34）深入推进依法行政。推进政府机构、职能、权限、程序、责任法定化，促进政务服务标准化、规范化、便利化，完善覆盖全国的一体化在线政务服务平台。完善重大决策、规范性文件合法性审查机制。加强政府立法审查。深化行政执法体制改革，完善基层综合执法体制机制，健全行政执法监督体制机制。完善行政处罚等领域行政裁量权基准制度，推动行政执法标准跨区域衔接。完善行政处罚和刑事处罚双向衔接制度。健全行政复议体制机制。完善行政裁决制度。完善垂直管理体制和地方分级管理体制，健全垂直管理机构和地方协作配合机制。稳妥推进人口小县机构优化。深化开发区管理制度改革。优化事业单位结构布局，强化公益性。</w:t>
      </w:r>
    </w:p>
    <w:p w14:paraId="61C97DDE">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35）健全公正执法司法体制机制。健全监察机关、公安机关、检察机关、审判机关、司法行政机关各司其职，监察权、侦查权、检察权、审判权、执行权相互配合、相互制约的体制机制，确保执法司法各环节全过程在有效制约监督下运行。深化审判权和执行权分离改革，健全国家执行体制，强化当事人、检察机关和社会公众对执行活动的全程监督。完善执法司法救济保护制度，完善国家赔偿制度。深化和规范司法公开，落实和完善司法责任制。规范专门法院设置。深化行政案件级别管辖、集中管辖、异地管辖改革。构建协同高效的警务体制机制，推进地方公安机关机构编制管理改革，继续推进民航公安机关和海关缉私部门管理体制改革。规范警务辅助人员管理制度。</w:t>
      </w:r>
    </w:p>
    <w:p w14:paraId="0C7D7429">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坚持正确人权观，加强人权执法司法保障，完善事前审查、事中监督、事后纠正等工作机制，完善涉及公民人身权利强制措施以及查封、扣押、冻结等强制措施的制度，依法查处利用职权徇私枉法、非法拘禁、刑讯逼供等犯罪行为。推进刑事案件律师辩护全覆盖。建立轻微犯罪记录封存制度。</w:t>
      </w:r>
    </w:p>
    <w:p w14:paraId="488E42ED">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36）完善推进法治社会建设机制。健全覆盖城乡的公共法律服务体系，深化律师制度、公证体制、仲裁制度、调解制度、司法鉴定管理体制改革。改进法治宣传教育，完善以实践为导向的法学院校教育培养机制。加强和改进未成年人权益保护，强化未成年人犯罪预防和治理，制定专门矫治教育规定。</w:t>
      </w:r>
    </w:p>
    <w:p w14:paraId="2825B3A2">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37）加强涉外法治建设。建立一体推进涉外立法、执法、司法、守法和法律服务、法治人才培养的工作机制。完善涉外法律法规体系和法治实施体系，深化执法司法国际合作。完善涉外民事法律关系中当事人依法约定管辖、选择适用域外法等司法审判制度。健全国际商事仲裁和调解制度，培育国际一流仲裁机构、律师事务所。积极参与国际规则制定。</w:t>
      </w:r>
    </w:p>
    <w:p w14:paraId="1CFFEFDD">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黑体_GBK" w:hAnsi="方正黑体_GBK" w:eastAsia="方正黑体_GBK" w:cs="方正黑体_GBK"/>
          <w:spacing w:val="-3"/>
          <w:sz w:val="31"/>
          <w:szCs w:val="31"/>
        </w:rPr>
      </w:pPr>
      <w:r>
        <w:rPr>
          <w:rFonts w:hint="eastAsia" w:ascii="方正黑体_GBK" w:hAnsi="方正黑体_GBK" w:eastAsia="方正黑体_GBK" w:cs="方正黑体_GBK"/>
          <w:spacing w:val="-3"/>
          <w:sz w:val="31"/>
          <w:szCs w:val="31"/>
        </w:rPr>
        <w:t>十、深化文化体制机制改革</w:t>
      </w:r>
    </w:p>
    <w:p w14:paraId="5D2BF8E3">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中国式现代化是物质文明和精神文明相协调的现代化。必须增强文化自信，发展社会主义先进文化，弘扬革命文化，传承中华优秀传统文化，加快适应信息技术迅猛发展新形势，培育形成规模宏大的优秀文化人才队伍，激发全民族文化创新创造活力。</w:t>
      </w:r>
    </w:p>
    <w:p w14:paraId="731E0B8A">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38）完善意识形态工作责任制。健全用党的创新理论武装全党、教育人民、指导实践工作体系，完善党委（党组）理论学习中心组学习制度，完善思想政治工作体系。创新马克思主义理论研究和建设工程，实施哲学社会科学创新工程，构建中国哲学社会科学自主知识体系。完善新闻发言人制度。构建适应全媒体生产传播工作机制和评价体系，推进主流媒体系统性变革。完善舆论引导机制和舆情应对协同机制。</w:t>
      </w:r>
    </w:p>
    <w:p w14:paraId="715AE9DC">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推动理想信念教育常态化制度化。完善培育和践行社会主义核心价值观制度机制。改进创新文明培育、文明实践、文明创建工作机制。实施文明乡风建设工程。优化英模人物宣传学习机制，创新爱国主义教育和各类群众性主题活动组织机制，推动全社会崇尚英雄、缅怀先烈、争做先锋。构建中华传统美德传承体系，健全社会公德、职业道德、家庭美德、个人品德建设体制机制，健全诚信建设长效机制，教育引导全社会自觉遵守法律、遵循公序良俗，坚决反对拜金主义、享乐主义、极端个人主义和历史虚无主义。形成网上思想道德教育分众化、精准化实施机制。建立健全道德领域突出问题协同治理机制，完善“扫黄打非”长效机制。</w:t>
      </w:r>
    </w:p>
    <w:p w14:paraId="6245C918">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39）优化文化服务和文化产品供给机制。完善公共文化服务体系，建立优质文化资源直达基层机制，健全社会力量参与公共文化服务机制，推进公共文化设施所有权和使用权分置改革。深化文化领域国资国企改革，分类推进文化事业单位深化内部改革，完善文艺院团建设发展机制。</w:t>
      </w:r>
    </w:p>
    <w:p w14:paraId="2E025740">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坚持以人民为中心的创作导向，坚持出成果和出人才相结合、抓作品和抓环境相贯通，改进文艺创作生产服务、引导、组织工作机制。健全文化产业体系和市场体系，完善文化经济政策。探索文化和科技融合的有效机制，加快发展新型文化业态。深化文化领域行政审批备案制度改革，加强事中事后监管。深化文娱领域综合治理。</w:t>
      </w:r>
    </w:p>
    <w:p w14:paraId="6D79FAE5">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建立文化遗产保护传承工作协调机构，建立文化遗产保护督察制度，推动文化遗产系统性保护和统一监管。构建中华文明标识体系。健全文化和旅游深度融合发展体制机制。完善全民健身公共服务体系，改革完善竞技体育管理体制和运行机制。</w:t>
      </w:r>
    </w:p>
    <w:p w14:paraId="6BAF8E7F">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40）健全网络综合治理体系。深化网络管理体制改革，整合网络内容建设和管理职能，推进新闻宣传和网络舆论一体化管理。完善生成式人工智能发展和管理机制。加强网络空间法治建设，健全网络生态治理长效机制，健全未成年人网络保护工作体系。</w:t>
      </w:r>
    </w:p>
    <w:p w14:paraId="0F0BF3D4">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41）构建更有效力的国际传播体系。推进国际传播格局重构，深化主流媒体国际传播机制改革创新，加快构建多渠道、立体式对外传播格局。加快构建中国话语和中国叙事体系，全面提升国际传播效能。建设全球文明倡议践行机制。推动走出去、请进来管理便利化，扩大国际人文交流合作。</w:t>
      </w:r>
    </w:p>
    <w:p w14:paraId="541BD709">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黑体_GBK" w:hAnsi="方正黑体_GBK" w:eastAsia="方正黑体_GBK" w:cs="方正黑体_GBK"/>
          <w:spacing w:val="-3"/>
          <w:sz w:val="31"/>
          <w:szCs w:val="31"/>
        </w:rPr>
      </w:pPr>
      <w:r>
        <w:rPr>
          <w:rFonts w:hint="eastAsia" w:ascii="方正黑体_GBK" w:hAnsi="方正黑体_GBK" w:eastAsia="方正黑体_GBK" w:cs="方正黑体_GBK"/>
          <w:spacing w:val="-3"/>
          <w:sz w:val="31"/>
          <w:szCs w:val="31"/>
        </w:rPr>
        <w:t>十一、健全保障和改善民生制度体系</w:t>
      </w:r>
    </w:p>
    <w:p w14:paraId="680A0907">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在发展中保障和改善民生是中国式现代化的重大任务。必须坚持尽力而为、量力而行，完善基本公共服务制度体系，加强普惠性、基础性、兜底性民生建设，解决好人民最关心最直接最现实的利益问题，不断满足人民对美好生活的向往。</w:t>
      </w:r>
    </w:p>
    <w:p w14:paraId="226F157E">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42）完善收入分配制度。构建初次分配、再分配、第三次分配协调配套的制度体系，提高居民收入在国民收入分配中的比重，提高劳动报酬在初次分配中的比重。完善劳动者工资决定、合理增长、支付保障机制，健全按要素分配政策制度。完善税收、社会保障、转移支付等再分配调节机制。支持发展公益慈善事业。</w:t>
      </w:r>
    </w:p>
    <w:p w14:paraId="4BC5F56D">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规范收入分配秩序，规范财富积累机制，多渠道增加城乡居民财产性收入，形成有效增加低收入群体收入、稳步扩大中等收入群体规模、合理调节过高收入的制度体系。深化国有企业工资决定机制改革，合理确定并严格规范国有企业各级负责人薪酬、津贴补贴等。</w:t>
      </w:r>
    </w:p>
    <w:p w14:paraId="16A5F726">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43）完善就业优先政策。健全高质量充分就业促进机制，完善就业公共服务体系，着力解决结构性就业矛盾。完善高校毕业生、农民工、退役军人等重点群体就业支持体系，健全终身职业技能培训制度。统筹城乡就业政策体系，同步推进户籍、用人、档案等服务改革，优化创业促进就业政策环境，支持和规范发展新就业形态。完善促进机会公平制度机制，畅通社会流动渠道。完善劳动关系协商协调机制，加强劳动者权益保障。</w:t>
      </w:r>
    </w:p>
    <w:p w14:paraId="4694A73D">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44）健全社会保障体系。完善基本养老保险全国统筹制度，健全全国统一的社保公共服务平台。健全社保基金保值增值和安全监管体系。健全基本养老、基本医疗保险筹资和待遇合理调整机制，逐步提高城乡居民基本养老保险基础养老金。健全灵活就业人员、农民工、新就业形态人员社保制度，扩大失业、工伤、生育保险覆盖面，全面取消在就业地参保户籍限制，完善社保关系转移接续政策。加快发展多层次多支柱养老保险体系，扩大年金制度覆盖范围，推行个人养老金制度。发挥各类商业保险补充保障作用。推进基本医疗保险省级统筹，深化医保支付方式改革，完善大病保险和医疗救助制度，加强医保基金监管。健全社会救助体系。健全保障妇女儿童合法权益制度。完善残疾人社会保障制度和关爱服务体系。</w:t>
      </w:r>
    </w:p>
    <w:p w14:paraId="0382D5C7">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改革房地产开发融资方式和商品房预售制度。完善房地产税收制度。</w:t>
      </w:r>
    </w:p>
    <w:p w14:paraId="1C6D1AD1">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45）深化医药卫生体制改革。实施健康优先发展战略，健全公共卫生体系，促进社会共治、医防协同、医防融合，强化监测预警、风险评估、流行病学调查、检验检测、应急处置、医疗救治等能力。促进医疗、医保、医药协同发展和治理。促进优质医疗资源扩容下沉和区域均衡布局，加快建设分级诊疗体系，推进紧密型医联体建设，强化基层医疗卫生服务。深化以公益性为导向的公立医院改革，建立以医疗服务为主导的收费机制，完善薪酬制度，建立编制动态调整机制。引导规范民营医院发展。创新医疗卫生监管手段。健全支持创新药和医疗器械发展机制，完善中医药传承创新发展机制。</w:t>
      </w:r>
    </w:p>
    <w:p w14:paraId="717DA003">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46）健全人口发展支持和服务体系。以应对老龄化、少子化为重点完善人口发展战略，健全覆盖全人群、全生命周期的人口服务体系，促进人口高质量发展。完善生育支持政策体系和激励机制，推动建设生育友好型社会。有效降低生育、养育、教育成本，完善生育休假制度，建立生育补贴制度，提高基本生育和儿童医疗公共服务水平，加大个人所得税抵扣力度。加强普惠育幼服务体系建设，支持用人单位办托、社区嵌入式托育、家庭托育点等多种模式发展。把握人口流动客观规律，推动相关公共服务随人走，促进城乡、区域人口合理集聚、有序流动。</w:t>
      </w:r>
    </w:p>
    <w:p w14:paraId="3DA88675">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积极应对人口老龄化，完善发展养老事业和养老产业政策机制。发展银发经济，创造适合老年人的多样化、个性化就业岗位。按照自愿、弹性原则，稳妥有序推进渐进式延迟法定退休年龄改革。优化基本养老服务供给，培育社区养老服务机构，健全公办养老机构运营机制，鼓励和引导企业等社会力量积极参与，推进互助性养老服务，促进医养结合。加快补齐农村养老服务短板。改善对孤寡、残障失能等特殊困难老年人的服务，加快建立长期护理保险制度。</w:t>
      </w:r>
    </w:p>
    <w:p w14:paraId="4B59ABD3">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黑体_GBK" w:hAnsi="方正黑体_GBK" w:eastAsia="方正黑体_GBK" w:cs="方正黑体_GBK"/>
          <w:spacing w:val="-3"/>
          <w:sz w:val="31"/>
          <w:szCs w:val="31"/>
        </w:rPr>
      </w:pPr>
      <w:r>
        <w:rPr>
          <w:rFonts w:hint="eastAsia" w:ascii="方正黑体_GBK" w:hAnsi="方正黑体_GBK" w:eastAsia="方正黑体_GBK" w:cs="方正黑体_GBK"/>
          <w:spacing w:val="-3"/>
          <w:sz w:val="31"/>
          <w:szCs w:val="31"/>
        </w:rPr>
        <w:t>十二、深化生态文明体制改革</w:t>
      </w:r>
    </w:p>
    <w:p w14:paraId="49D304F4">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中国式现代化是人与自然和谐共生的现代化。必须完善生态文明制度体系，协同推进降碳、减污、扩绿、增长，积极应对气候变化，加快完善落实绿水青山就是金山银山理念的体制机制。</w:t>
      </w:r>
    </w:p>
    <w:p w14:paraId="28066FC9">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47）完善生态文明基础体制。实施分区域、差异化、精准管控的生态环境管理制度，健全生态环境监测和评价制度。建立健全覆盖全域全类型、统一衔接的国土空间用途管制和规划许可制度。健全自然资源资产产权制度和管理制度体系，完善全民所有自然资源资产所有权委托代理机制，建立生态环境保护、自然资源保护利用和资产保值增值等责任考核监督制度。完善国家生态安全工作协调机制。编纂生态环境法典。</w:t>
      </w:r>
    </w:p>
    <w:p w14:paraId="735304CB">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48）健全生态环境治理体系。推进生态环境治理责任体系、监管体系、市场体系、法律法规政策体系建设。完善精准治污、科学治污、依法治污制度机制，落实以排污许可制为核心的固定污染源监管制度，建立新污染物协同治理和环境风险管控体系，推进多污染物协同减排。深化环境信息依法披露制度改革，构建环境信用监管体系。推动重要流域构建上下游贯通一体的生态环境治理体系。全面推进以国家公园为主体的自然保护地体系建设。</w:t>
      </w:r>
    </w:p>
    <w:p w14:paraId="413077D3">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落实生态保护红线管理制度，健全山水林田湖草沙一体化保护和系统治理机制，建设多元化生态保护修复投入机制。落实水资源刚性约束制度，全面推行水资源费改税。强化生物多样性保护工作协调机制。健全海洋资源开发保护制度。健全生态产品价值实现机制。深化自然资源有偿使用制度改革。推进生态综合补偿，健全横向生态保护补偿机制，统筹推进生态环境损害赔偿。</w:t>
      </w:r>
    </w:p>
    <w:p w14:paraId="5F6D74DC">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49）健全绿色低碳发展机制。实施支持绿色低碳发展的财税、金融、投资、价格政策和标准体系，发展绿色低碳产业，健全绿色消费激励机制，促进绿色低碳循环发展经济体系建设。优化政府绿色采购政策，完善绿色税制。完善资源总量管理和全面节约制度，健全废弃物循环利用体系。健全煤炭清洁高效利用机制。加快规划建设新型能源体系，完善新能源消纳和调控政策措施。完善适应气候变化工作体系。建立能耗双控向碳排放双控全面转型新机制。构建碳排放统计核算体系、产品碳标识认证制度、产品碳足迹管理体系，健全碳市场交易制度、温室气体自愿减排交易制度，积极稳妥推进碳达峰碳中和。</w:t>
      </w:r>
    </w:p>
    <w:p w14:paraId="2B8BAE0B">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黑体_GBK" w:hAnsi="方正黑体_GBK" w:eastAsia="方正黑体_GBK" w:cs="方正黑体_GBK"/>
          <w:spacing w:val="-3"/>
          <w:sz w:val="31"/>
          <w:szCs w:val="31"/>
        </w:rPr>
      </w:pPr>
      <w:r>
        <w:rPr>
          <w:rFonts w:hint="eastAsia" w:ascii="方正黑体_GBK" w:hAnsi="方正黑体_GBK" w:eastAsia="方正黑体_GBK" w:cs="方正黑体_GBK"/>
          <w:spacing w:val="-3"/>
          <w:sz w:val="31"/>
          <w:szCs w:val="31"/>
        </w:rPr>
        <w:t>十三、推进国家安全体系和能力现代化</w:t>
      </w:r>
    </w:p>
    <w:p w14:paraId="2669B091">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国家安全是中国式现代化行稳致远的重要基础。必须全面贯彻总体国家安全观，完善维护国家安全体制机制，实现高质量发展和高水平安全良性互动，切实保障国家长治久安。</w:t>
      </w:r>
    </w:p>
    <w:p w14:paraId="7B0C54AC">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50）健全国家安全体系。强化国家安全工作协调机制，完善国家安全法治体系、战略体系、政策体系、风险监测预警体系，完善重点领域安全保障体系和重要专项协调指挥体系。构建联动高效的国家安全防护体系，推进国家安全科技赋能。</w:t>
      </w:r>
    </w:p>
    <w:p w14:paraId="52219398">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51）完善公共安全治理机制。健全重大突发公共事件处置保障体系，完善大安全大应急框架下应急指挥机制，强化基层应急基础和力量，提高防灾减灾救灾能力。完善安全生产风险排查整治和责任倒查机制。完善食品药品安全责任体系。健全生物安全监管预警防控体系。加强网络安全体制建设，建立人工智能安全监管制度。</w:t>
      </w:r>
    </w:p>
    <w:p w14:paraId="391C0942">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52）健全社会治理体系。坚持和发展新时代“枫桥经验”，健全党组织领导的自治、法治、德治相结合的城乡基层治理体系，完善共建共治共享的社会治理制度。探索建立全国统一的人口管理制度。健全社会工作体制机制，加强党建引领基层治理，加强社会工作者队伍建设，推动志愿服务体系建设。推进信访工作法治化。提高市域社会治理能力，强化市民热线等公共服务平台功能，健全“高效办成一件事”重点事项清单管理机制和常态化推进机制。健全社会心理服务体系和危机干预机制。健全发挥家庭家教家风建设在基层治理中作用的机制。深化行业协会商会改革。健全社会组织管理制度。</w:t>
      </w:r>
    </w:p>
    <w:p w14:paraId="65AB8A59">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健全乡镇（街道）职责和权力、资源相匹配制度，加强乡镇（街道）服务管理力量。完善社会治安整体防控体系，健全扫黑除恶常态化机制，依法严惩群众反映强烈的违法犯罪活动。</w:t>
      </w:r>
    </w:p>
    <w:p w14:paraId="7E0179AA">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53）完善涉外国家安全机制。建立健全周边安全工作协调机制。强化海外利益和投资风险预警、防控、保护体制机制，深化安全领域国际执法合作，维护我国公民、法人在海外合法权益。健全反制裁、反干涉、反“长臂管辖”机制。健全维护海洋权益机制。完善参与全球安全治理机制。</w:t>
      </w:r>
    </w:p>
    <w:p w14:paraId="302F7787">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黑体_GBK" w:hAnsi="方正黑体_GBK" w:eastAsia="方正黑体_GBK" w:cs="方正黑体_GBK"/>
          <w:spacing w:val="-3"/>
          <w:sz w:val="31"/>
          <w:szCs w:val="31"/>
        </w:rPr>
      </w:pPr>
      <w:r>
        <w:rPr>
          <w:rFonts w:hint="eastAsia" w:ascii="方正黑体_GBK" w:hAnsi="方正黑体_GBK" w:eastAsia="方正黑体_GBK" w:cs="方正黑体_GBK"/>
          <w:spacing w:val="-3"/>
          <w:sz w:val="31"/>
          <w:szCs w:val="31"/>
        </w:rPr>
        <w:t>十四、持续深化国防和军队改革</w:t>
      </w:r>
    </w:p>
    <w:p w14:paraId="44E1CC20">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国防和军队现代化是中国式现代化的重要组成部分。必须坚持党对人民军队的绝对领导，深入实施改革强军战略，为如期实现建军一百年奋斗目标、基本实现国防和军队现代化提供有力保障。</w:t>
      </w:r>
    </w:p>
    <w:p w14:paraId="1C3120FC">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54）完善人民军队领导管理体制机制。健全贯彻军委主席负责制的制度机制，深入推进政治建军。优化军委机关部门职能配置，健全战建备统筹推进机制，完善重大决策咨询评估机制，深化战略管理创新，完善军事治理体系。健全依法治军工作机制。完善作战战备、军事人力资源等领域配套政策制度。深化军队院校改革，推动院校内涵式发展。实施军队企事业单位调整改革。</w:t>
      </w:r>
    </w:p>
    <w:p w14:paraId="582650F6">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55）深化联合作战体系改革。完善军委联合作战指挥中心职能，健全重大安全领域指挥功能，建立同中央和国家机关协调运行机制。优化战区联合作战指挥中心编成，完善任务部队联合作战指挥编组模式。加强网络信息体系建设运用统筹。构建新型军兵种结构布局，加快发展战略威慑力量，大力发展新域新质作战力量，统筹加强传统作战力量建设。优化武警部队力量编成。</w:t>
      </w:r>
    </w:p>
    <w:p w14:paraId="20CD7F5E">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56）深化跨军地改革。健全一体化国家战略体系和能力建设工作机制，完善涉军决策议事协调体制机制。健全国防建设军事需求提报和军地对接机制，完善国防动员体系。深化国防科技工业体制改革，优化国防科技工业布局，改进武器装备采购制度，建立军品设计回报机制，构建武器装备现代化管理体系。完善军地标准化工作统筹机制。加强航天、军贸等领域建设和管理统筹。优化边海防领导管理体制机制，完善党政军警民合力治边机制。深化民兵制度改革。完善双拥工作机制。</w:t>
      </w:r>
    </w:p>
    <w:p w14:paraId="52693338">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黑体_GBK" w:hAnsi="方正黑体_GBK" w:eastAsia="方正黑体_GBK" w:cs="方正黑体_GBK"/>
          <w:spacing w:val="-3"/>
          <w:sz w:val="31"/>
          <w:szCs w:val="31"/>
        </w:rPr>
      </w:pPr>
      <w:r>
        <w:rPr>
          <w:rFonts w:hint="eastAsia" w:ascii="方正黑体_GBK" w:hAnsi="方正黑体_GBK" w:eastAsia="方正黑体_GBK" w:cs="方正黑体_GBK"/>
          <w:spacing w:val="-3"/>
          <w:sz w:val="31"/>
          <w:szCs w:val="31"/>
        </w:rPr>
        <w:t>十五、提高党对进一步全面深化改革、推进中国式现代化的领导水平</w:t>
      </w:r>
    </w:p>
    <w:p w14:paraId="73BD8341">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党的领导是进一步全面深化改革、推进中国式现代化的根本保证。必须深刻领悟“两个确立”的决定性意义，增强“四个意识”、坚定“四个自信”、做到“两个维护”，保持以党的自我革命引领社会革命的高度自觉，坚持用改革精神和严的标准管党治党，完善党的自我革命制度规范体系，不断推进党的自我净化、自我完善、自我革新、自我提高，确保党始终成为中国特色社会主义事业的坚强领导核心。</w:t>
      </w:r>
    </w:p>
    <w:p w14:paraId="62C999FF">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57）坚持党中央对进一步全面深化改革的集中统一领导。党中央领导改革的总体设计、统筹协调、整体推进。完善党中央重大决策部署落实机制，确保党中央令行禁止。各级党委（党组）负责落实党中央决策部署，谋划推进本地区本部门改革，鼓励结合实际开拓创新，创造可复制、可推广的新鲜经验。走好新时代党的群众路线，把社会期盼、群众智慧、专家意见、基层经验充分吸收到改革设计中来。围绕解决突出矛盾设置改革议题，优化重点改革方案生成机制，坚持真理、修正错误，及时发现问题、纠正偏差。完善改革激励和舆论引导机制，营造良好改革氛围。</w:t>
      </w:r>
    </w:p>
    <w:p w14:paraId="3BEB8694">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58）深化党的建设制度改革。以调动全党抓改革、促发展的积极性、主动性、创造性为着力点，完善党的建设制度机制。加强党的创新理论武装，建立健全以学铸魂、以学增智、以学正风、以学促干长效机制。深化干部人事制度改革，鲜明树立选人用人正确导向，大力选拔政治过硬、敢于担当、锐意改革、实绩突出、清正廉洁的干部，着力解决干部乱作为、不作为、不敢为、不善为问题。树立和践行正确政绩观，健全有效防范和纠治政绩观偏差工作机制。落实“三个区分开来”，激励干部开拓进取、干事创业。推进领导干部能上能下常态化，加大调整不适宜担任现职干部力度。健全常态化培训特别是基本培训机制，强化专业训练和实践锻炼，全面提高干部现代化建设能力。完善和落实领导干部任期制，健全领导班子主要负责人变动交接制度。增强党组织政治功能和组织功能。探索加强新经济组织、新社会组织、新就业群体党的建设有效途径。完善党员教育管理、作用发挥机制。完善党内法规，增强党内法规权威性和执行力。</w:t>
      </w:r>
    </w:p>
    <w:p w14:paraId="6147DBA4">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59）深入推进党风廉政建设和反腐败斗争。健全政治监督具体化、精准化、常态化机制。锲而不舍落实中央八项规定精神，健全防治形式主义、官僚主义制度机制。持续精简规范会议文件和各类创建示范、评比达标、节庆展会论坛活动，严格控制面向基层的督查、检查、考核总量，提高调研质量，下大气力解决过频过繁问题。制定乡镇（街道）履行职责事项清单，健全为基层减负长效机制。建立经常性和集中性相结合的纪律教育机制，深化运用监督执纪“四种形态”，综合发挥党的纪律教育约束、保障激励作用。</w:t>
      </w:r>
    </w:p>
    <w:p w14:paraId="7DB712B5">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完善一体推进不敢腐、不能腐、不想腐工作机制，着力铲除腐败滋生的土壤和条件。健全不正之风和腐败问题同查同治机制，深化整治权力集中、资金密集、资源富集领域腐败，严肃查处政商勾连破坏政治生态和经济发展环境问题，完善对重点行贿人的联合惩戒机制，丰富防治新型腐败和隐性腐败的有效办法。加强诬告行为治理。健全追逃防逃追赃机制。加强新时代廉洁文化建设。</w:t>
      </w:r>
    </w:p>
    <w:p w14:paraId="78CA2EBE">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完善党和国家监督体系。强化全面从严治党主体责任和监督责任。健全加强对“一把手”和领导班子监督配套制度。完善权力配置和运行制约机制，反对特权思想和特权现象。推进执纪执法和刑事司法有机衔接。健全巡视巡察工作体制机制。优化监督检查和审查调查机构职能，完善垂直管理单位纪检监察体制，推进向中管企业全面派驻纪检监察组。深化基层监督体制机制改革。推进反腐败国家立法，修改监察法，出台反跨境腐败法。</w:t>
      </w:r>
    </w:p>
    <w:p w14:paraId="28A66901">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60）以钉钉子精神抓好改革落实。对党中央进一步全面深化改革的决策部署，全党必须求真务实抓落实、敢作善为抓落实，坚持上下协同、条块结合，科学制定改革任务书、时间表、优先序，明确各项改革实施主体和责任，把重大改革落实情况纳入监督检查和巡视巡察内容，以实绩实效和人民群众满意度检验改革。</w:t>
      </w:r>
    </w:p>
    <w:p w14:paraId="15CB0008">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中国式现代化是走和平发展道路的现代化。对外工作必须坚定奉行独立自主的和平外交政策，推动构建人类命运共同体，践行全人类共同价值，落实全球发展倡议、全球安全倡议、全球文明倡议，倡导平等有序的世界多极化、普惠包容的经济全球化，深化外事工作机制改革，参与引领全球治理体系改革和建设，坚定维护国家主权、安全、发展利益，为进一步全面深化改革、推进中国式现代化营造良好外部环境。</w:t>
      </w:r>
    </w:p>
    <w:p w14:paraId="247D082E">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lang w:eastAsia="zh-CN"/>
        </w:rPr>
      </w:pPr>
      <w:r>
        <w:rPr>
          <w:rFonts w:hint="eastAsia" w:ascii="方正仿宋_GBK" w:hAnsi="方正仿宋_GBK" w:eastAsia="方正仿宋_GBK" w:cs="方正仿宋_GBK"/>
          <w:spacing w:val="-3"/>
          <w:sz w:val="31"/>
          <w:szCs w:val="31"/>
        </w:rPr>
        <w:t>全党全军全国各族人民要更加紧密地团结在以习近平同志为核心的党中央周围，高举改革开放旗帜，凝心聚力、奋发进取，为全面建成社会主义现代化强国、实现第二个百年奋斗目标，以中国式现代化全面推进中华民族伟大复兴而努力奋斗。</w:t>
      </w:r>
    </w:p>
    <w:p w14:paraId="4818F7D3">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p>
    <w:p w14:paraId="0CEE1707">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sectPr>
          <w:pgSz w:w="11906" w:h="16838"/>
          <w:pgMar w:top="1440" w:right="1800" w:bottom="1440" w:left="1800" w:header="851" w:footer="992" w:gutter="0"/>
          <w:pgNumType w:fmt="decimal"/>
          <w:cols w:space="425" w:num="1"/>
          <w:docGrid w:type="lines" w:linePitch="312" w:charSpace="0"/>
        </w:sectPr>
      </w:pPr>
      <w:r>
        <w:rPr>
          <w:rFonts w:hint="eastAsia" w:ascii="方正仿宋_GBK" w:hAnsi="方正仿宋_GBK" w:eastAsia="方正仿宋_GBK" w:cs="方正仿宋_GBK"/>
          <w:color w:val="auto"/>
          <w:sz w:val="32"/>
          <w:szCs w:val="32"/>
        </w:rPr>
        <w:t xml:space="preserve">发布时间：2024年07月21日 16:42 来源：新华社 </w:t>
      </w:r>
    </w:p>
    <w:p w14:paraId="5B3AA99D">
      <w:pPr>
        <w:keepNext w:val="0"/>
        <w:keepLines w:val="0"/>
        <w:pageBreakBefore w:val="0"/>
        <w:kinsoku/>
        <w:wordWrap/>
        <w:overflowPunct/>
        <w:topLinePunct w:val="0"/>
        <w:autoSpaceDE/>
        <w:autoSpaceDN/>
        <w:bidi w:val="0"/>
        <w:adjustRightInd w:val="0"/>
        <w:snapToGrid w:val="0"/>
        <w:spacing w:line="560" w:lineRule="exact"/>
        <w:ind w:left="0" w:right="0"/>
        <w:jc w:val="left"/>
        <w:textAlignment w:val="auto"/>
        <w:outlineLvl w:val="0"/>
        <w:rPr>
          <w:rFonts w:hint="default" w:ascii="方正小标宋_GBK" w:hAnsi="方正小标宋_GBK" w:eastAsia="方正小标宋_GBK" w:cs="方正小标宋_GBK"/>
          <w:color w:val="auto"/>
          <w:sz w:val="36"/>
          <w:szCs w:val="36"/>
          <w:lang w:val="en-US" w:eastAsia="zh-CN"/>
        </w:rPr>
      </w:pPr>
      <w:bookmarkStart w:id="8" w:name="_Toc17570"/>
      <w:bookmarkStart w:id="9" w:name="_Toc16281"/>
      <w:bookmarkStart w:id="10" w:name="_Toc18296"/>
      <w:r>
        <w:rPr>
          <w:rFonts w:hint="eastAsia" w:ascii="方正小标宋_GBK" w:hAnsi="方正小标宋_GBK" w:eastAsia="方正小标宋_GBK" w:cs="方正小标宋_GBK"/>
          <w:color w:val="auto"/>
          <w:sz w:val="36"/>
          <w:szCs w:val="36"/>
          <w:lang w:val="en-US" w:eastAsia="zh-CN"/>
        </w:rPr>
        <w:t>学习内容三：</w:t>
      </w:r>
      <w:bookmarkEnd w:id="8"/>
      <w:bookmarkEnd w:id="9"/>
      <w:bookmarkEnd w:id="10"/>
    </w:p>
    <w:p w14:paraId="7A99D0E4">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36"/>
          <w:szCs w:val="36"/>
          <w:lang w:val="en-US" w:eastAsia="zh-CN"/>
        </w:rPr>
      </w:pPr>
      <w:bookmarkStart w:id="11" w:name="_Toc13688"/>
      <w:r>
        <w:rPr>
          <w:rFonts w:hint="eastAsia" w:ascii="方正小标宋_GBK" w:hAnsi="方正小标宋_GBK" w:eastAsia="方正小标宋_GBK" w:cs="方正小标宋_GBK"/>
          <w:color w:val="auto"/>
          <w:sz w:val="36"/>
          <w:szCs w:val="36"/>
          <w:lang w:val="en-US" w:eastAsia="zh-CN"/>
        </w:rPr>
        <w:t>关于《中共中央关于进一步全面深化改革、推进中国式现代化的决定》的说明</w:t>
      </w:r>
      <w:bookmarkEnd w:id="11"/>
    </w:p>
    <w:p w14:paraId="7F0652B6">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rPr>
          <w:rFonts w:hint="eastAsia" w:ascii="方正楷体_GBK" w:hAnsi="方正楷体_GBK" w:eastAsia="方正楷体_GBK" w:cs="方正楷体_GBK"/>
          <w:color w:val="auto"/>
          <w:sz w:val="32"/>
          <w:szCs w:val="32"/>
          <w:lang w:eastAsia="zh-CN"/>
        </w:rPr>
      </w:pPr>
      <w:r>
        <w:rPr>
          <w:rFonts w:hint="eastAsia" w:ascii="方正楷体_GBK" w:hAnsi="方正楷体_GBK" w:eastAsia="方正楷体_GBK" w:cs="方正楷体_GBK"/>
          <w:color w:val="auto"/>
          <w:sz w:val="32"/>
          <w:szCs w:val="32"/>
        </w:rPr>
        <w:t>习近平</w:t>
      </w:r>
    </w:p>
    <w:p w14:paraId="57AC5F8B">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p>
    <w:p w14:paraId="645BB11D">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同志们：</w:t>
      </w:r>
    </w:p>
    <w:p w14:paraId="4EB14D2E">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受中央政治局委托，我就《中共中央关于进一步全面深化改革、推进中国式现代化的决定》起草的有关情况向全会作说明。</w:t>
      </w:r>
    </w:p>
    <w:p w14:paraId="61D3C127">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黑体_GBK" w:hAnsi="方正黑体_GBK" w:eastAsia="方正黑体_GBK" w:cs="方正黑体_GBK"/>
          <w:color w:val="auto"/>
          <w:sz w:val="32"/>
          <w:szCs w:val="32"/>
          <w:lang w:eastAsia="zh-CN"/>
        </w:rPr>
      </w:pPr>
      <w:r>
        <w:rPr>
          <w:rFonts w:hint="eastAsia" w:ascii="方正黑体_GBK" w:hAnsi="方正黑体_GBK" w:eastAsia="方正黑体_GBK" w:cs="方正黑体_GBK"/>
          <w:color w:val="auto"/>
          <w:sz w:val="32"/>
          <w:szCs w:val="32"/>
        </w:rPr>
        <w:t>一、关于确定全会议题的考虑</w:t>
      </w:r>
    </w:p>
    <w:p w14:paraId="55EE6DDF">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围绕党的中心任务谋划和部署改革，是党领导改革开放的成功经验。从实践经验和现实需要出发，中央政治局决定党的二十届三中全会研究进一步全面深化改革、推进中国式现代化问题，主要有以下几方面考虑。</w:t>
      </w:r>
    </w:p>
    <w:p w14:paraId="2C8ED98C">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第一，这是凝聚人心、汇聚力量，实现新时代新征程党的中心任务的迫切需要。实践充分证明，改革开放和社会主义现代化建设新时期，我国大踏步赶上时代，靠的是改革开放。党的十八大以来，党和国家事业取得历史性成就、发生历史性变革，靠的也是改革开放。新时代新征程上，要开创中国式现代化建设新局面，仍然要靠改革开放。党的二十大确立了全面建成社会主义现代化强国、实现第二个百年奋斗目标，以中国式现代化全面推进中华民族伟大复兴的中心任务，阐述了中国式现代化的中国特色、本质要求、重大原则等，对推进中国式现代化作出战略部署。要把这些战略部署落到实处，把中国式现代化蓝图变为现实，根本在于进一步全面深化改革，不断完善各方面体制机制，为推进中国式现代化提供制度保障。</w:t>
      </w:r>
    </w:p>
    <w:p w14:paraId="016B9C7A">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第二，这是完善和发展中国特色社会主义制度、推进国家治理体系和治理能力现代化的迫切需要。党的十八大以来，我们突出制度建设这条主线，通过全面深化改革完善各方面制度，推动中国特色社会主义制度更加成熟更加定型，国家治理体系和治理能力现代化水平明显提高，为全面建成小康社会提供了有力制度保障。同时，要清醒看到，完善中国特色社会主义制度是一个动态过程，必然随着实践发展而不断发展，已有制度需要不断健全，新领域新实践需要推进制度创新、填补制度空白。面对新的形势和任务，必须进一步全面深化改革，继续完善各方面制度机制，固根基、扬优势、补短板、强弱项，不断把我国制度优势更好转化为国家治理效能。</w:t>
      </w:r>
    </w:p>
    <w:p w14:paraId="68C957DB">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第三，这是推动高质量发展、更好适应我国社会主要矛盾变化的迫切需要。当前，推动高质量发展面临的突出问题依然是发展不平衡不充分。比如，市场体系仍不健全，市场发育还不充分，政府和市场的关系尚未完全理顺，创新能力不适应高质量发展要求，产业体系整体大而不强、全而不精，关键核心技术受制于人状况没有根本改变，农业基础还不稳固，城乡区域发展和收入分配差距仍然较大，民生保障、生态环境保护仍存短板，等等。归结起来，这些问题都是社会主要矛盾变化的反映，是发展中的问题，必须进一步全面深化改革，从体制机制上推动解决。</w:t>
      </w:r>
    </w:p>
    <w:p w14:paraId="651092FE">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第四，这是应对重大风险挑战、推动党和国家事业行稳致远的迫切需要。推进中国式现代化是一项全新的事业，前进道路上必然会遇到各种矛盾和风险挑战。特别是当前世界百年未有之大变局加速演进，局部冲突和动荡频发，全球性问题加剧，来自外部的打压遏制不断升级，我国发展进入战略机遇和风险挑战并存、不确定难预料因素增多的时期，各种“黑天鹅”、“灰犀牛”事件随时可能发生。有效应对这些风险挑战，在日趋激烈的国际竞争中赢得战略主动，需要我们进一步全面深化改革，用完善的制度防范化解风险、有效应对挑战，在危机中育新机、于变局中开新局。</w:t>
      </w:r>
    </w:p>
    <w:p w14:paraId="1347B845">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黑体_GBK" w:hAnsi="方正黑体_GBK" w:eastAsia="方正黑体_GBK" w:cs="方正黑体_GBK"/>
          <w:color w:val="auto"/>
          <w:sz w:val="32"/>
          <w:szCs w:val="32"/>
          <w:lang w:eastAsia="zh-CN"/>
        </w:rPr>
      </w:pPr>
      <w:r>
        <w:rPr>
          <w:rFonts w:hint="eastAsia" w:ascii="方正黑体_GBK" w:hAnsi="方正黑体_GBK" w:eastAsia="方正黑体_GBK" w:cs="方正黑体_GBK"/>
          <w:color w:val="auto"/>
          <w:sz w:val="32"/>
          <w:szCs w:val="32"/>
        </w:rPr>
        <w:t>二、关于决定稿起草过程</w:t>
      </w:r>
    </w:p>
    <w:p w14:paraId="156F8623">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2023年11月，中央政治局决定，成立党的二十届三中全会文件起草组，由我担任组长，王沪宁、蔡奇、丁薛祥同志担任副组长，在中央政治局常委会领导下承担文件起草工作。12月8日，文件起草组召开第一次全体会议，文件起草工作正式启动。在7个多月时间里，文件起草组深入调查研究，广泛征求意见，开展专题论证，反复讨论修改。</w:t>
      </w:r>
    </w:p>
    <w:p w14:paraId="0225A725">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在决定稿起草过程中，我们重点把握以下几点：一是总结和运用改革开放以来特别是新时代全面深化改革的宝贵经验，确定遵循原则，坚持正确政治方向。二是紧紧围绕推进中国式现代化、落实党的二十大战略部署来谋划进一步全面深化改革，坚持问题导向。三是抓住重点，突出体制机制改革，突出战略性、全局性重大改革，突出经济体制改革牵引作用，凸显改革引领作用。四是坚持人民至上，从人民整体利益、根本利益、长远利益出发谋划和推进改革。五是强化系统集成，加强对改革整体谋划、系统布局，使各方面改革相互配合、协同高效。</w:t>
      </w:r>
    </w:p>
    <w:p w14:paraId="51AB49B7">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这次全会文件起草，把发扬民主、集思广益贯穿全过程。2023年11月27日，党中央发出通知，就党的二十届三中全会议题征求各地区各部门各方面和部分干部群众意见。大家一致认为，党中央决定党的二十届三中全会重点研究进一步全面深化改革、推进中国式现代化问题，彰显了将改革进行到底的坚强决心和强烈使命担当，是对新时代新征程举什么旗、走什么路的再宣示，对以中国式现代化全面推进强国建设、民族复兴伟业具有重大而深远的意义。各地区各部门各方面就文件主题、框架、重要举措等提出许多有价值的建议，为决定稿起草提供了重要参考。</w:t>
      </w:r>
    </w:p>
    <w:p w14:paraId="1796E914">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2024年5月7日，决定稿下发党内一定范围征求意见，征求党内老同志意见，专门听取各民主党派中央、全国工商联负责人和无党派人士代表意见，听取相关企业和专家学者意见。从反馈情况看，大家一致认为，决定稿紧紧围绕推进中国式现代化这个主题擘画进一步全面深化改革战略举措，坚持正确政治方向，着力抓住推进中国式现代化需要破解的重大体制机制问题谋划改革，主题鲜明，重点突出，举措务实可行，是新时代新征程上推动全面深化改革向广度和深度进军的总动员、总部署，充分体现了完善和发展中国特色社会主义制度、推进国家治理体系和治理能力现代化的历史主动，必将为中国式现代化提供强大动力和制度保障。同时，各方面提出了1911条修改意见和建议。文件起草组认真研究这些意见和建议，能吸收尽量吸收，作出221处修改。</w:t>
      </w:r>
    </w:p>
    <w:p w14:paraId="085F76BE">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在起草工作过程中，中央政治局常委会召开3次会议、中央政治局召开2次会议进行审议、修改，形成了提请这次全会审议的决定稿。</w:t>
      </w:r>
    </w:p>
    <w:p w14:paraId="36A20618">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黑体_GBK" w:hAnsi="方正黑体_GBK" w:eastAsia="方正黑体_GBK" w:cs="方正黑体_GBK"/>
          <w:color w:val="auto"/>
          <w:sz w:val="32"/>
          <w:szCs w:val="32"/>
          <w:lang w:eastAsia="zh-CN"/>
        </w:rPr>
      </w:pPr>
      <w:r>
        <w:rPr>
          <w:rFonts w:hint="eastAsia" w:ascii="方正黑体_GBK" w:hAnsi="方正黑体_GBK" w:eastAsia="方正黑体_GBK" w:cs="方正黑体_GBK"/>
          <w:color w:val="auto"/>
          <w:sz w:val="32"/>
          <w:szCs w:val="32"/>
        </w:rPr>
        <w:t>三、关于决定稿基本框架和主要内容</w:t>
      </w:r>
    </w:p>
    <w:p w14:paraId="14C0AA70">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决定稿除引言和结束语外，有15个部分，分三大板块。第一部分为第一板块，是总论，主要阐述进一步全面深化改革、推进中国式现代化的重大意义和总体要求。第二至第十四部分为第二板块，是分论，主要从经济、政治、文化、社会、生态文明、国家安全、国防和军队等方面部署改革。第十五部分为第三板块，主要讲加强党对改革的领导、深化党的建设制度改革、党风廉政建设和反腐败斗争。内容条目通篇排序，开列60条。</w:t>
      </w:r>
    </w:p>
    <w:p w14:paraId="0FF07819">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决定稿锚定2035年基本实现社会主义现代化目标，重点部署未来五年的重大改革举措，在内容摆布上有以下几个特点。</w:t>
      </w:r>
    </w:p>
    <w:p w14:paraId="0CC20217">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第一，注重发挥经济体制改革牵引作用。深化经济体制改革仍是进一步全面深化改革的重点，主要任务是完善有利于推动高质量发展的体制机制，塑造发展新动能新优势，坚持和落实“两个毫不动摇”，构建全国统一大市场，完善市场经济基础制度。</w:t>
      </w:r>
    </w:p>
    <w:p w14:paraId="289E6643">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决定稿围绕处理好政府和市场关系这个核心问题，把构建高水平社会主义市场经济体制摆在突出位置，对经济体制改革重点领域和关键环节作出部署。着眼增强国有企业核心功能、提升核心竞争力，提出增强各有关管理部门战略协同，推进国有经济布局优化和结构调整，推动国有资本和国有企业做强做优做大；着眼推动非公有制经济发展，提出制定民营经济促进法，加强产权执法司法保护，防止和纠正利用行政、刑事手段干预经济纠纷。提出加强公平竞争审查刚性约束，清理和废除妨碍全国统一市场和公平竞争的各种规定和做法，完善要素市场制度和规则，等等。这些举措将更好激发全社会内生动力和创新活力。</w:t>
      </w:r>
    </w:p>
    <w:p w14:paraId="364A7640">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决定稿对健全推动经济高质量发展体制机制、促进新质生产力发展作出部署。围绕发展以高技术、高效能、高质量为特征的生产力，提出加强新领域新赛道制度供给，建立未来产业投入增长机制，以国家标准提升引领传统产业优化升级，促进各类先进生产要素向发展新质生产力集聚。</w:t>
      </w:r>
    </w:p>
    <w:p w14:paraId="4A2E03C0">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决定稿对健全宏观经济治理体系作出部署。提出完善国家战略规划体系和政策统筹协调机制；统筹推进财税体制改革，增加地方自主财力，拓展地方税源，合理扩大地方政府专项债券支持范围，适当加强中央事权、提高中央财政支出比例；完善金融机构定位和治理，健全投资和融资相协调的资本市场功能，完善金融监管体系。</w:t>
      </w:r>
    </w:p>
    <w:p w14:paraId="181BFE47">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决定稿对完善城乡融合发展体制机制作出部署。提出健全推进新型城镇化体制机制；巩固和完善农村基本经营制度；完善强农惠农富农支持制度；深化土地制度改革。</w:t>
      </w:r>
    </w:p>
    <w:p w14:paraId="6B5E52FD">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决定稿对完善高水平对外开放体制机制作出部署。提出稳步扩大制度型开放；深化外贸体制改革；深化外商投资和对外投资管理体制改革；优化区域开放布局；完善推进高质量共建“一带一路”机制。</w:t>
      </w:r>
    </w:p>
    <w:p w14:paraId="297CC706">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第二，注重构建支持全面创新体制机制。决定稿统筹推进教育科技人才体制机制一体改革，强调深化教育综合改革、深化科技体制改革、深化人才发展体制机制改革，提升国家创新体系整体效能。</w:t>
      </w:r>
    </w:p>
    <w:p w14:paraId="26FE7BA0">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在教育体制改革方面，提出分类推进高校改革，建立科技发展、国家战略需求牵引的学科设置调整机制和人才培养模式，超常布局急需学科专业；完善高校科技创新机制，提高成果转化效能。</w:t>
      </w:r>
    </w:p>
    <w:p w14:paraId="7F37EF9A">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在科技体制改革方面，提出加强国家战略科技力量建设，优化国家科研机构、高水平研究型大学、科技领军企业定位和布局，改进科技计划管理，强化基础研究领域、交叉前沿领域、重点领域前瞻性、引领性布局；强化企业科技创新主体地位，建立培育壮大科技领军企业机制；允许科研类事业单位实行比一般事业单位更灵活的管理制度，探索实行企业化管理；深化职务科技成果赋权改革。</w:t>
      </w:r>
    </w:p>
    <w:p w14:paraId="7AA92C1F">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在人才发展体制机制改革方面，提出加快建设国家战略人才力量，提高各类人才素质；完善青年创新人才发现、选拔、培养机制，更好保障青年科技人员待遇；强化人才激励机制，坚持向用人主体授权、为人才松绑；完善海外引进人才支持保障机制。</w:t>
      </w:r>
    </w:p>
    <w:p w14:paraId="66D640B9">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第三，注重全面改革。决定稿在统筹推进“五位一体”总体布局、协调推进“四个全面”战略布局框架下谋划进一步全面深化改革，统筹部署经济体制改革和其他各领域改革。</w:t>
      </w:r>
    </w:p>
    <w:p w14:paraId="28C343E0">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在民主和法治领域改革方面，对健全全过程人民民主制度体系、完善中国特色社会主义法治体系分别作出部署。提出加强人民当家作主制度建设；健全协商民主机制；健全基层民主制度；完善大统战工作格局。提出加强重点领域、新兴领域、涉外领域立法；健全监察机关、公安机关、检察机关、审判机关、司法行政机关各司其职，监察权、侦查权、检察权、审判权、执行权相互配合、相互制约的体制机制；完善推进法治社会建设机制。</w:t>
      </w:r>
    </w:p>
    <w:p w14:paraId="4C82CCC6">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在文化体制改革方面，着眼于推进物质文明和精神文明相协调的现代化，提出推动理想信念教育常态化制度化，改进创新文明培育、文明实践、文明创建工作机制；优化文化服务和文化产品供给机制，建立优质文化资源直达基层机制；健全网络综合治理体系；推进国际传播格局重构，构建更有效力的国际传播体系。</w:t>
      </w:r>
    </w:p>
    <w:p w14:paraId="6F8CCEE5">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在健全保障和改善民生制度体系方面，提出完善收入分配制度，规范收入分配秩序；优化创业促进就业政策环境，支持和规范发展新就业形态；健全灵活就业人员、农民工、新就业形态人员社保制度，全面取消在就业地参保户籍限制；提出加快构建房地产发展新模式，充分赋予各城市政府房地产市场调控自主权；提出深化医药卫生体制改革，实施健康优先发展战略；提出健全人口发展支持和服务体系，完善生育支持政策体系和激励机制，完善发展养老事业和养老产业政策机制，按照自愿、弹性原则稳妥有序推进渐进式延迟法定退休年龄改革。</w:t>
      </w:r>
    </w:p>
    <w:p w14:paraId="0DBF6EDA">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在生态文明体制改革方面，提出完善生态文明基础体制，健全生态环境治理体系，健全绿色低碳发展机制；提出实施分区域、差异化、精准管控的生态环境管理制度，健全横向生态保护补偿机制，实施支持绿色低碳发展的财税、金融、投资、价格政策和标准体系，加快规划建设新型能源体系。</w:t>
      </w:r>
    </w:p>
    <w:p w14:paraId="742CAD56">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第四，注重统筹发展和安全。国家安全是中国式现代化行稳致远的重要基础。决定稿把维护国家安全放到更加突出位置，围绕推进国家安全体系和能力现代化，提出构建联动高效的国家安全防护体系，推进国家安全科技赋能；健全重大突发公共事件处置保障体系；建立人工智能安全监管制度；探索建立全国统一的人口管理制度；完善社会治安整体防控体系，依法严惩群众反映强烈的违法犯罪活动。提出建立健全周边安全工作协调机制；健全反制裁、反干涉、反“长臂管辖”机制；健全贸易风险防控机制，完善涉外法律法规体系和法治实施体系，深化执法司法国际合作。围绕持续深化国防和军队改革，提出完善人民军队领导管理体制机制，深化联合作战体系改革，深化跨军地改革。</w:t>
      </w:r>
    </w:p>
    <w:p w14:paraId="2E8EA049">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第五，注重加强党对改革的领导。党的领导是进一步全面深化改革、推进中国式现代化的根本保证。决定稿提出完善党中央重大决策部署落实机制；深化干部人事制度改革，鲜明树立选人用人正确导向，大力选拔政治过硬、敢于担当、锐意改革、实绩突出、清正廉洁的干部，着力解决干部乱作为、不作为、不敢为、不善为问题；树立和践行正确政绩观，落实“三个区分开来”，激励干部开拓进取、干事创业；增强党组织政治功能和组织功能；健全防治形式主义、官僚主义制度机制，健全不正之风和腐败问题同查同治机制，丰富防治新型腐败和隐性腐败的有效办法。</w:t>
      </w:r>
    </w:p>
    <w:p w14:paraId="61230943">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rPr>
        <w:t>希望同志们深刻领会党中央精神，紧紧围绕全会主题进行讨论，提出建设性修改意见和建议，共同把这次全会开好、把决定稿修改好。</w:t>
      </w:r>
    </w:p>
    <w:p w14:paraId="462E69C0">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color w:val="auto"/>
          <w:sz w:val="32"/>
          <w:szCs w:val="32"/>
        </w:rPr>
      </w:pPr>
    </w:p>
    <w:p w14:paraId="66DF426D">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ascii="方正仿宋_GBK" w:hAnsi="方正仿宋_GBK" w:eastAsia="方正仿宋_GBK" w:cs="方正仿宋_GBK"/>
          <w:sz w:val="31"/>
          <w:szCs w:val="31"/>
        </w:rPr>
      </w:pPr>
      <w:r>
        <w:rPr>
          <w:rFonts w:hint="eastAsia" w:ascii="方正仿宋_GBK" w:hAnsi="方正仿宋_GBK" w:eastAsia="方正仿宋_GBK" w:cs="方正仿宋_GBK"/>
          <w:color w:val="auto"/>
          <w:sz w:val="32"/>
          <w:szCs w:val="32"/>
        </w:rPr>
        <w:t>发布时间：2024年07月21日 16:47 来源：新华社</w:t>
      </w:r>
    </w:p>
    <w:p w14:paraId="0C74C275">
      <w:pPr>
        <w:keepNext w:val="0"/>
        <w:keepLines w:val="0"/>
        <w:pageBreakBefore w:val="0"/>
        <w:widowControl/>
        <w:kinsoku/>
        <w:wordWrap/>
        <w:overflowPunct/>
        <w:topLinePunct w:val="0"/>
        <w:autoSpaceDE w:val="0"/>
        <w:autoSpaceDN w:val="0"/>
        <w:bidi w:val="0"/>
        <w:adjustRightInd w:val="0"/>
        <w:snapToGrid w:val="0"/>
        <w:spacing w:line="560" w:lineRule="exact"/>
        <w:ind w:left="0" w:right="0"/>
        <w:textAlignment w:val="baseline"/>
        <w:rPr>
          <w:rFonts w:ascii="方正仿宋_GBK" w:hAnsi="方正仿宋_GBK" w:eastAsia="方正仿宋_GBK" w:cs="方正仿宋_GBK"/>
          <w:sz w:val="31"/>
          <w:szCs w:val="31"/>
        </w:rPr>
        <w:sectPr>
          <w:footerReference r:id="rId4" w:type="default"/>
          <w:pgSz w:w="11907" w:h="16839"/>
          <w:pgMar w:top="1431" w:right="1676" w:bottom="1266" w:left="1785" w:header="0" w:footer="991" w:gutter="0"/>
          <w:pgNumType w:fmt="decimal"/>
          <w:cols w:space="720" w:num="1"/>
        </w:sectPr>
      </w:pPr>
    </w:p>
    <w:p w14:paraId="79FF71DD">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12" w:name="_Toc4618"/>
      <w:bookmarkStart w:id="13" w:name="_Toc22555"/>
      <w:r>
        <w:rPr>
          <w:rFonts w:hint="eastAsia" w:ascii="方正小标宋_GBK" w:hAnsi="方正小标宋_GBK" w:eastAsia="方正小标宋_GBK" w:cs="方正小标宋_GBK"/>
          <w:color w:val="auto"/>
          <w:sz w:val="36"/>
          <w:szCs w:val="36"/>
          <w:lang w:val="en-US" w:eastAsia="zh-CN"/>
        </w:rPr>
        <w:t>学习内容四：</w:t>
      </w:r>
      <w:bookmarkEnd w:id="12"/>
      <w:bookmarkEnd w:id="13"/>
    </w:p>
    <w:p w14:paraId="0A81EE2B">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36"/>
          <w:szCs w:val="36"/>
          <w:lang w:val="en-US" w:eastAsia="zh-CN"/>
        </w:rPr>
      </w:pPr>
      <w:bookmarkStart w:id="14" w:name="_Toc8189"/>
      <w:r>
        <w:rPr>
          <w:rFonts w:hint="eastAsia" w:ascii="方正小标宋_GBK" w:hAnsi="方正小标宋_GBK" w:eastAsia="方正小标宋_GBK" w:cs="方正小标宋_GBK"/>
          <w:color w:val="auto"/>
          <w:sz w:val="36"/>
          <w:szCs w:val="36"/>
          <w:lang w:val="en-US" w:eastAsia="zh-CN"/>
        </w:rPr>
        <w:t>习近平就中央和国家机关学习贯彻党的二十届三中全会精神 推动机关党建高质量发展作出重要指示强调 在学习宣传贯彻全会精神上当好排头兵 全面提高机关党建质量建设模范机关 蔡奇出席座谈会并讲话</w:t>
      </w:r>
      <w:bookmarkEnd w:id="14"/>
    </w:p>
    <w:p w14:paraId="571DBA5A">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p>
    <w:p w14:paraId="33367692">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 xml:space="preserve">    </w:t>
      </w:r>
      <w:bookmarkStart w:id="15" w:name="_Toc6119"/>
      <w:bookmarkStart w:id="16" w:name="_Toc9929"/>
      <w:r>
        <w:rPr>
          <w:rFonts w:hint="eastAsia" w:ascii="方正仿宋_GBK" w:hAnsi="方正仿宋_GBK" w:eastAsia="方正仿宋_GBK" w:cs="方正仿宋_GBK"/>
          <w:color w:val="auto"/>
          <w:kern w:val="2"/>
          <w:sz w:val="32"/>
          <w:szCs w:val="32"/>
          <w:lang w:val="en-US" w:eastAsia="zh-CN" w:bidi="ar-SA"/>
        </w:rPr>
        <w:t>中共中央总书记、国家主席、中央军委主席习近平近日就中央和国家机关学习贯彻党的二十届三中全会精神、推动机关党建高质量发展作出重要指示强调，学习好贯彻好党的二十届三中全会精神是当前和今后一个时期全党全国的一项重大政治任务，中央和国家机关是贯彻落实党中央决策部署的“最初一公里”，要在学习宣传贯彻全会精神上当好排头兵。</w:t>
      </w:r>
      <w:bookmarkEnd w:id="15"/>
      <w:bookmarkEnd w:id="16"/>
    </w:p>
    <w:p w14:paraId="14EC2BC8">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 xml:space="preserve">    </w:t>
      </w:r>
      <w:bookmarkStart w:id="17" w:name="_Toc25771"/>
      <w:bookmarkStart w:id="18" w:name="_Toc27909"/>
      <w:r>
        <w:rPr>
          <w:rFonts w:hint="eastAsia" w:ascii="方正仿宋_GBK" w:hAnsi="方正仿宋_GBK" w:eastAsia="方正仿宋_GBK" w:cs="方正仿宋_GBK"/>
          <w:color w:val="auto"/>
          <w:kern w:val="2"/>
          <w:sz w:val="32"/>
          <w:szCs w:val="32"/>
          <w:lang w:val="en-US" w:eastAsia="zh-CN" w:bidi="ar-SA"/>
        </w:rPr>
        <w:t>习近平强调，新时代新征程上，要坚持和加强党的全面领导和党中央集中统一领导，深刻领会和把握进一步全面深化改革的主题、重大原则、重大举措、根本保证，在进一步全面深化改革、推进中国式现代化上走在前、作示范。要深入贯彻党中央关于党的建设的重要思想、关于党的自我革命的重要思想，总结运用好贯彻落实中央和国家机关党的建设工作会议精神的实践经验，深化党的建设制度改革，带头做到“两个维护”，带头深化理论武装，带头夯实基层基础，带头正风肃纪反腐，全面提高机关党建质量，走好第一方阵，当好“三个表率”，建设模范机关。中央和国家机关工委要更好履职尽责，守正创新、狠抓落实，在以高质量党建促进高质量发展中展现新担当新作为。</w:t>
      </w:r>
      <w:bookmarkEnd w:id="17"/>
      <w:bookmarkEnd w:id="18"/>
    </w:p>
    <w:p w14:paraId="0E1F76B9">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 xml:space="preserve">    </w:t>
      </w:r>
      <w:bookmarkStart w:id="19" w:name="_Toc21207"/>
      <w:bookmarkStart w:id="20" w:name="_Toc14150"/>
      <w:r>
        <w:rPr>
          <w:rFonts w:hint="eastAsia" w:ascii="方正仿宋_GBK" w:hAnsi="方正仿宋_GBK" w:eastAsia="方正仿宋_GBK" w:cs="方正仿宋_GBK"/>
          <w:color w:val="auto"/>
          <w:kern w:val="2"/>
          <w:sz w:val="32"/>
          <w:szCs w:val="32"/>
          <w:lang w:val="en-US" w:eastAsia="zh-CN" w:bidi="ar-SA"/>
        </w:rPr>
        <w:t>中央和国家机关学习贯彻党的二十届三中全会精神、推动机关党建高质量发展座谈会7月31日在京召开。中共中央政治局常委、中央和国家机关工委书记蔡奇出席会议，传达习近平重要指示并讲话。</w:t>
      </w:r>
      <w:bookmarkEnd w:id="19"/>
      <w:bookmarkEnd w:id="20"/>
    </w:p>
    <w:p w14:paraId="2113C21A">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 xml:space="preserve">    </w:t>
      </w:r>
      <w:bookmarkStart w:id="21" w:name="_Toc26112"/>
      <w:bookmarkStart w:id="22" w:name="_Toc20848"/>
      <w:r>
        <w:rPr>
          <w:rFonts w:hint="eastAsia" w:ascii="方正仿宋_GBK" w:hAnsi="方正仿宋_GBK" w:eastAsia="方正仿宋_GBK" w:cs="方正仿宋_GBK"/>
          <w:color w:val="auto"/>
          <w:kern w:val="2"/>
          <w:sz w:val="32"/>
          <w:szCs w:val="32"/>
          <w:lang w:val="en-US" w:eastAsia="zh-CN" w:bidi="ar-SA"/>
        </w:rPr>
        <w:t>蔡奇指出，中央和国家机关要提高政治站位，一体学习贯彻好党的二十届三中全会精神和习近平总书记重要指示精神，深刻认识三中全会的重大意义，深刻领会习近平总书记关于全面深化改革的一系列新思想、新观点、新论断，深刻把握三中全会《决定》的丰富内涵，切实把思想和行动统一到党中央决策部署上来。要践行使命任务，把牢政治方向，强化主体责任，狠抓改革落实，坚持科学方法，充分调动各级党组织和党员、干部抓改革、促发展的积极性主动性创造性，以强烈的责任担当贯彻落实好三中全会精神。</w:t>
      </w:r>
      <w:bookmarkEnd w:id="21"/>
      <w:bookmarkEnd w:id="22"/>
    </w:p>
    <w:p w14:paraId="1007A062">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 xml:space="preserve">    </w:t>
      </w:r>
      <w:bookmarkStart w:id="23" w:name="_Toc21530"/>
      <w:bookmarkStart w:id="24" w:name="_Toc22259"/>
      <w:r>
        <w:rPr>
          <w:rFonts w:hint="eastAsia" w:ascii="方正仿宋_GBK" w:hAnsi="方正仿宋_GBK" w:eastAsia="方正仿宋_GBK" w:cs="方正仿宋_GBK"/>
          <w:color w:val="auto"/>
          <w:kern w:val="2"/>
          <w:sz w:val="32"/>
          <w:szCs w:val="32"/>
          <w:lang w:val="en-US" w:eastAsia="zh-CN" w:bidi="ar-SA"/>
        </w:rPr>
        <w:t>蔡奇充分肯定近年来各部门贯彻习近平总书记关于机关党建的重要讲话和重要指示批示精神的做法和成效，强调中央和国家机关各级党组织和广大党员、干部要强化政治忠诚、提高政治能力，深刻领悟“两个确立”的决定性意义，不断增强“四个意识”、坚定“四个自信”，走好践行“两个维护”第一方阵。要紧扣职责定位，深化理论武装，健全以学铸魂、以学增智、以学正风、以学促干长效机制，加强年轻干部教育引领；坚持补短板、强弱项与提质量、强功能并举，夯实基层基础；持续正风肃纪反腐，健全防治形式主义、官僚主义制度机制，建立经常性和集中性相结合的纪律教育机制；严格落实机关党建责任，进一步强化制度硬约束，以深化党的建设制度改革推动机关党建高质量发展，为进一步全面深化改革、推进中国式现代化提供坚强保证。</w:t>
      </w:r>
      <w:bookmarkEnd w:id="23"/>
      <w:bookmarkEnd w:id="24"/>
    </w:p>
    <w:p w14:paraId="5F2D39E3">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 xml:space="preserve">    </w:t>
      </w:r>
      <w:bookmarkStart w:id="25" w:name="_Toc27794"/>
      <w:bookmarkStart w:id="26" w:name="_Toc29375"/>
      <w:r>
        <w:rPr>
          <w:rFonts w:hint="eastAsia" w:ascii="方正仿宋_GBK" w:hAnsi="方正仿宋_GBK" w:eastAsia="方正仿宋_GBK" w:cs="方正仿宋_GBK"/>
          <w:color w:val="auto"/>
          <w:kern w:val="2"/>
          <w:sz w:val="32"/>
          <w:szCs w:val="32"/>
          <w:lang w:val="en-US" w:eastAsia="zh-CN" w:bidi="ar-SA"/>
        </w:rPr>
        <w:t>中央纪委国家监委机关、中央对外联络部、全国总工会、国家发展改革委、科技部、国务院办公厅负责同志作交流发言。</w:t>
      </w:r>
      <w:bookmarkEnd w:id="25"/>
      <w:bookmarkEnd w:id="26"/>
    </w:p>
    <w:p w14:paraId="5E19883A">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 xml:space="preserve">    </w:t>
      </w:r>
      <w:bookmarkStart w:id="27" w:name="_Toc31974"/>
      <w:bookmarkStart w:id="28" w:name="_Toc4782"/>
      <w:r>
        <w:rPr>
          <w:rFonts w:hint="eastAsia" w:ascii="方正仿宋_GBK" w:hAnsi="方正仿宋_GBK" w:eastAsia="方正仿宋_GBK" w:cs="方正仿宋_GBK"/>
          <w:color w:val="auto"/>
          <w:kern w:val="2"/>
          <w:sz w:val="32"/>
          <w:szCs w:val="32"/>
          <w:lang w:val="en-US" w:eastAsia="zh-CN" w:bidi="ar-SA"/>
        </w:rPr>
        <w:t>姜信治出席会议。</w:t>
      </w:r>
      <w:bookmarkEnd w:id="27"/>
      <w:bookmarkEnd w:id="28"/>
    </w:p>
    <w:p w14:paraId="5FA7ADB3">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 xml:space="preserve">    </w:t>
      </w:r>
      <w:bookmarkStart w:id="29" w:name="_Toc7968"/>
      <w:bookmarkStart w:id="30" w:name="_Toc2398"/>
      <w:r>
        <w:rPr>
          <w:rFonts w:hint="eastAsia" w:ascii="方正仿宋_GBK" w:hAnsi="方正仿宋_GBK" w:eastAsia="方正仿宋_GBK" w:cs="方正仿宋_GBK"/>
          <w:color w:val="auto"/>
          <w:kern w:val="2"/>
          <w:sz w:val="32"/>
          <w:szCs w:val="32"/>
          <w:lang w:val="en-US" w:eastAsia="zh-CN" w:bidi="ar-SA"/>
        </w:rPr>
        <w:t>中央和国家机关有关部门党组（党委）书记，中央和国家机关各部门机关党委书记、常务副书记，中央和国家机关工委负责同志等参加会议。</w:t>
      </w:r>
      <w:bookmarkEnd w:id="29"/>
      <w:bookmarkEnd w:id="30"/>
    </w:p>
    <w:p w14:paraId="7886E1D0">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31" w:name="_Toc2969"/>
    </w:p>
    <w:p w14:paraId="5617A9E3">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32" w:name="_Toc8813"/>
      <w:r>
        <w:rPr>
          <w:rFonts w:hint="eastAsia" w:ascii="方正仿宋_GBK" w:hAnsi="方正仿宋_GBK" w:eastAsia="方正仿宋_GBK" w:cs="方正仿宋_GBK"/>
          <w:color w:val="auto"/>
          <w:kern w:val="2"/>
          <w:sz w:val="32"/>
          <w:szCs w:val="32"/>
          <w:lang w:val="en-US" w:eastAsia="zh-CN" w:bidi="ar-SA"/>
        </w:rPr>
        <w:t>发布时间：2024年06月20日 13:21 来源：新华社</w:t>
      </w:r>
      <w:bookmarkEnd w:id="31"/>
      <w:bookmarkEnd w:id="32"/>
    </w:p>
    <w:p w14:paraId="66CA3684">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仿宋_GBK" w:hAnsi="方正仿宋_GBK" w:eastAsia="方正仿宋_GBK" w:cs="方正仿宋_GBK"/>
          <w:color w:val="auto"/>
          <w:kern w:val="2"/>
          <w:sz w:val="32"/>
          <w:szCs w:val="32"/>
          <w:lang w:val="en-US" w:eastAsia="zh-CN" w:bidi="ar-SA"/>
        </w:rPr>
        <w:sectPr>
          <w:pgSz w:w="11906" w:h="16838"/>
          <w:pgMar w:top="1984" w:right="1474" w:bottom="1644" w:left="1474" w:header="851" w:footer="992" w:gutter="0"/>
          <w:pgNumType w:fmt="decimal"/>
          <w:cols w:space="0" w:num="1"/>
          <w:rtlGutter w:val="0"/>
          <w:docGrid w:type="lines" w:linePitch="312" w:charSpace="0"/>
        </w:sectPr>
      </w:pPr>
    </w:p>
    <w:p w14:paraId="74F1F4C4">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33" w:name="_Toc21683"/>
      <w:bookmarkStart w:id="34" w:name="_Toc28622"/>
      <w:r>
        <w:rPr>
          <w:rFonts w:hint="eastAsia" w:ascii="方正小标宋_GBK" w:hAnsi="方正小标宋_GBK" w:eastAsia="方正小标宋_GBK" w:cs="方正小标宋_GBK"/>
          <w:color w:val="auto"/>
          <w:sz w:val="36"/>
          <w:szCs w:val="36"/>
          <w:lang w:val="en-US" w:eastAsia="zh-CN"/>
        </w:rPr>
        <w:t>学习内容五：</w:t>
      </w:r>
      <w:bookmarkEnd w:id="33"/>
      <w:bookmarkEnd w:id="34"/>
    </w:p>
    <w:p w14:paraId="017B93B5">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36"/>
          <w:szCs w:val="36"/>
          <w:lang w:val="en-US" w:eastAsia="zh-CN"/>
        </w:rPr>
      </w:pPr>
      <w:bookmarkStart w:id="35" w:name="_Toc20034"/>
      <w:r>
        <w:rPr>
          <w:rFonts w:hint="eastAsia" w:ascii="方正小标宋_GBK" w:hAnsi="方正小标宋_GBK" w:eastAsia="方正小标宋_GBK" w:cs="方正小标宋_GBK"/>
          <w:color w:val="auto"/>
          <w:sz w:val="36"/>
          <w:szCs w:val="36"/>
          <w:lang w:val="en-US" w:eastAsia="zh-CN"/>
        </w:rPr>
        <w:t>中共中央政治局召开会议 分析研究当前经济形势和经济工作 审议《整治形式主义为基层减负若干规定》 中共中央总书记习近平主持会议</w:t>
      </w:r>
      <w:bookmarkEnd w:id="35"/>
    </w:p>
    <w:p w14:paraId="3573E617">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jc w:val="both"/>
        <w:textAlignment w:val="auto"/>
        <w:rPr>
          <w:rFonts w:hint="eastAsia" w:ascii="方正仿宋_GBK" w:hAnsi="方正仿宋_GBK" w:eastAsia="方正仿宋_GBK" w:cs="方正仿宋_GBK"/>
          <w:color w:val="auto"/>
          <w:kern w:val="2"/>
          <w:sz w:val="32"/>
          <w:szCs w:val="32"/>
          <w:lang w:val="en-US" w:eastAsia="zh-CN" w:bidi="ar-SA"/>
        </w:rPr>
      </w:pPr>
    </w:p>
    <w:p w14:paraId="306C531F">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中共中央政治局7月30日召开会议，分析研究当前经济形势，部署下半年经济工作，审议《整治形式主义为基层减负若干规定》。中共中央总书记习近平主持会议。</w:t>
      </w:r>
    </w:p>
    <w:p w14:paraId="6FFA6FD7">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会议认为，今年以来，在以习近平同志为核心的党中央坚强领导下，各地区各部门迎难而上、积极作为，深化改革开放，加强宏观调控，有效应对风险挑战，经济运行总体平稳、稳中有进，延续回升向好态势，新动能新优势加快培育，高质量发展扎实推进，社会大局保持稳定。</w:t>
      </w:r>
    </w:p>
    <w:p w14:paraId="5E7804B4">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会议指出，当前外部环境变化带来的不利影响增多，国内有效需求不足，经济运行出现分化，重点领域风险隐患仍然较多，新旧动能转换存在阵痛。这些是发展中、转型中的问题，我们既要增强风险意识和底线思维，积极主动应对，又要保持战略定力，坚定发展信心，唱响中国经济光明论。</w:t>
      </w:r>
    </w:p>
    <w:p w14:paraId="4AC4EB41">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会议强调，下半年改革发展稳定任务很重，要全面贯彻落实党的二十大和二十届二中、三中全会精神，坚持稳中求进工作总基调，完整、准确、全面贯彻新发展理念，加快构建新发展格局，因地制宜发展新质生产力，着力推动高质量发展，围绕推进中国式现代化进一步全面深化改革，加大宏观调控力度，深化创新驱动发展，深入挖掘内需潜力，不断增强新动能新优势，增强经营主体活力，稳定市场预期，增强社会信心，增强经济持续回升向好态势，切实保障和改善民生，保持社会稳定，坚定不移完成全年经济社会发展目标任务。</w:t>
      </w:r>
    </w:p>
    <w:p w14:paraId="023037DB">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会议强调，要以改革为动力促进稳增长、调结构、防风险，充分发挥经济体制改革的牵引作用，及时推出一批条件成熟、可感可及的改革举措。要坚持和落实“两个毫不动摇”，促进各种所有制经济优势互补、共同发展，完善产权保护、市场准入、破产退出等市场经济基础制度，防止和纠正一些地方利用行政、刑事手段干预经济纠纷。要弘扬企业家精神，在改革创新和公平竞争中加快建设更多世界一流企业。</w:t>
      </w:r>
    </w:p>
    <w:p w14:paraId="7575EB1E">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会议指出，宏观政策要持续用力、更加给力。要加强逆周期调节，实施好积极的财政政策和稳健的货币政策，加快全面落实已确定的政策举措，及早储备并适时推出一批增量政策举措。要加快专项债发行使用进度，用好超长期特别国债，支持国家重大战略和重点领域安全能力建设，更大力度推动大规模设备更新和大宗耐用消费品以旧换新。要优化财政支出结构，兜牢“三保”底线。要综合运用多种货币政策工具，加大金融对实体经济的支持力度，促进社会综合融资成本稳中有降。要保持人民币汇率在合理均衡水平上的基本稳定。要切实增强宏观政策取向一致性，形成各方面共同推动高质量发展的强大合力。要继续发挥好经济大省挑大梁作用。</w:t>
      </w:r>
    </w:p>
    <w:p w14:paraId="60A3B67A">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会议强调，要以提振消费为重点扩大国内需求，经济政策的着力点要更多转向惠民生、促消费，要多渠道增加居民收入，增强中低收入群体的消费能力和意愿，把服务消费作为消费扩容升级的重要抓手，支持文旅、养老、育幼、家政等消费。要进一步调动民间投资积极性，扩大有效投资。</w:t>
      </w:r>
    </w:p>
    <w:p w14:paraId="7104F1F8">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会议指出，要培育壮大新兴产业和未来产业。要大力推进高水平科技自立自强，加强关键核心技术攻关，推动传统产业转型升级。要有力有效支持发展瞪羚企业、独角兽企业。要强化行业自律，防止“内卷式”恶性竞争。强化市场优胜劣汰机制，畅通落后低效产能退出渠道。</w:t>
      </w:r>
    </w:p>
    <w:p w14:paraId="3AE5B3D8">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会议指出，要推进高水平对外开放，进一步营造市场化、法治化、国际化一流营商环境，稳步扩大制度型开放，落实制造业领域外资准入限制措施“清零”要求，推出新一轮服务业扩大开放试点举措，促进利用外资企稳回升。要积极培育外贸发展新动能，拓展中间品贸易、绿色贸易。要扎实推进高质量共建“一带一路”。</w:t>
      </w:r>
    </w:p>
    <w:p w14:paraId="3E64272B">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13E18F2C">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会议指出，要扎实推进乡村全面振兴，巩固拓展脱贫攻坚成果，确保农村人口不发生规模性返贫致贫。要加强耕地保护和质量提升，抓好农业生产，努力夺取全年粮食丰收。</w:t>
      </w:r>
    </w:p>
    <w:p w14:paraId="1DC02EF9">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会议强调，要加大保障和改善民生力度。要强化就业优先政策，做好高校毕业生等重点群体就业。要加强低收入人口救助帮扶，织密扎牢社会保障网。要全力做好防汛抗洪救灾工作，做好迎峰度夏期间能源电力供应，抓好安全生产，认真解决食品安全、社会治安等问题。要深入打好污染防治攻坚战，扎实推进碳达峰碳中和。要做好“十五五”规划前期研究谋划工作。</w:t>
      </w:r>
    </w:p>
    <w:p w14:paraId="7BD7542E">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会议指出，形式主义、官僚主义是顽瘴痼疾，必须下大力气坚决纠治。基层是贯彻落实党中央决策部署的“最后一公里”，不能被形式主义、官僚主义束缚手脚。中央书记处要持之以恒抓住不放，中央层面整治形式主义为基层减负专项工作机制要定期督促检查，中央和国家机关各部门、各省级党委和政府在安排部署工作时要实事求是，省以下各级党委要履行好主体责任，各级纪检监察机关要强化监督执行。</w:t>
      </w:r>
    </w:p>
    <w:p w14:paraId="146F44E0">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会议强调，要强化制度建设与执行，统筹为基层减负和赋能，进一步严格落实中央八项规定及其实施细则精神，持续精文简会，统筹规范督查检查考核，切实解决过频过繁问题，严格规范从基层借调干部，加强政务移动互联网应用程序规范化管理，整治“指尖上的形式主义”，进一步理顺基层权责，推动资源、服务、管理向基层下沉，精简创建示范和达标活动，注重创建示范实效。对党员干部特别是基层群众反映强烈的突出问题，要发现一个整治一个；对具有一定典型性、普遍性的问题，要集中力量开展专项整治和清理，切实把基层从形式主义、官僚主义的束缚中解脱出来，引导广大党员、干部树立正确政绩观，激励担当作为，有更多精力抓落实。</w:t>
      </w:r>
    </w:p>
    <w:p w14:paraId="575E0421">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p>
    <w:p w14:paraId="7C456A8F">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发布时间：2024年07月31日 16:00 来源：新华社</w:t>
      </w:r>
    </w:p>
    <w:p w14:paraId="6BB234DD">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sectPr>
          <w:pgSz w:w="11906" w:h="16838"/>
          <w:pgMar w:top="1644" w:right="1474" w:bottom="1984" w:left="1474" w:header="851" w:footer="992" w:gutter="0"/>
          <w:pgNumType w:fmt="decimal"/>
          <w:cols w:space="0" w:num="1"/>
          <w:rtlGutter w:val="0"/>
          <w:docGrid w:type="lines" w:linePitch="312" w:charSpace="0"/>
        </w:sectPr>
      </w:pPr>
    </w:p>
    <w:p w14:paraId="5CBC6698">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36" w:name="_Toc14801"/>
      <w:bookmarkStart w:id="37" w:name="_Toc30197"/>
      <w:r>
        <w:rPr>
          <w:rFonts w:hint="eastAsia" w:ascii="方正小标宋_GBK" w:hAnsi="方正小标宋_GBK" w:eastAsia="方正小标宋_GBK" w:cs="方正小标宋_GBK"/>
          <w:color w:val="auto"/>
          <w:sz w:val="36"/>
          <w:szCs w:val="36"/>
          <w:lang w:val="en-US" w:eastAsia="zh-CN"/>
        </w:rPr>
        <w:t>学习内容六：</w:t>
      </w:r>
      <w:bookmarkEnd w:id="36"/>
      <w:bookmarkEnd w:id="37"/>
    </w:p>
    <w:bookmarkEnd w:id="2"/>
    <w:p w14:paraId="7281F2E2">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36"/>
          <w:szCs w:val="36"/>
          <w:lang w:val="en-US" w:eastAsia="zh-CN"/>
        </w:rPr>
      </w:pPr>
      <w:bookmarkStart w:id="38" w:name="_Toc4689"/>
      <w:r>
        <w:rPr>
          <w:rFonts w:hint="eastAsia" w:ascii="方正小标宋_GBK" w:hAnsi="方正小标宋_GBK" w:eastAsia="方正小标宋_GBK" w:cs="方正小标宋_GBK"/>
          <w:color w:val="auto"/>
          <w:sz w:val="36"/>
          <w:szCs w:val="36"/>
          <w:lang w:val="en-US" w:eastAsia="zh-CN"/>
        </w:rPr>
        <w:t>中共中央 国务院关于加快经济社会发展全面绿色转型的意见</w:t>
      </w:r>
      <w:bookmarkEnd w:id="38"/>
    </w:p>
    <w:p w14:paraId="6C8CA610">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楷体_GBK" w:hAnsi="方正楷体_GBK" w:eastAsia="方正楷体_GBK" w:cs="方正楷体_GBK"/>
          <w:color w:val="auto"/>
          <w:sz w:val="32"/>
          <w:szCs w:val="32"/>
          <w:lang w:val="en-US" w:eastAsia="zh-CN"/>
        </w:rPr>
      </w:pPr>
      <w:bookmarkStart w:id="39" w:name="_Toc26487"/>
      <w:r>
        <w:rPr>
          <w:rFonts w:hint="eastAsia" w:ascii="方正楷体_GBK" w:hAnsi="方正楷体_GBK" w:eastAsia="方正楷体_GBK" w:cs="方正楷体_GBK"/>
          <w:color w:val="auto"/>
          <w:sz w:val="32"/>
          <w:szCs w:val="32"/>
          <w:lang w:val="en-US" w:eastAsia="zh-CN"/>
        </w:rPr>
        <w:t>（2024年7月31日）</w:t>
      </w:r>
      <w:bookmarkEnd w:id="39"/>
    </w:p>
    <w:p w14:paraId="6C6DF08D">
      <w:pPr>
        <w:keepNext w:val="0"/>
        <w:keepLines w:val="0"/>
        <w:pageBreakBefore w:val="0"/>
        <w:widowControl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lang w:eastAsia="zh-CN"/>
        </w:rPr>
      </w:pPr>
    </w:p>
    <w:p w14:paraId="4C336207">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推动经济社会发展绿色化、低碳化，是新时代党治国理政新理念新实践的重要标志，是实现高质量发展的关键环节，是解决我国资源环境生态问题的基础之策，是建设人与自然和谐共生现代化的内在要求。为加快经济社会发展全面绿色转型，现提出如下意见。</w:t>
      </w:r>
    </w:p>
    <w:p w14:paraId="60DBEC56">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黑体_GBK" w:hAnsi="方正黑体_GBK" w:eastAsia="方正黑体_GBK" w:cs="方正黑体_GBK"/>
          <w:spacing w:val="-3"/>
          <w:sz w:val="32"/>
          <w:szCs w:val="32"/>
        </w:rPr>
      </w:pPr>
      <w:r>
        <w:rPr>
          <w:rFonts w:hint="eastAsia" w:ascii="方正黑体_GBK" w:hAnsi="方正黑体_GBK" w:eastAsia="方正黑体_GBK" w:cs="方正黑体_GBK"/>
          <w:spacing w:val="-3"/>
          <w:sz w:val="32"/>
          <w:szCs w:val="32"/>
        </w:rPr>
        <w:t>一、总体要求</w:t>
      </w:r>
    </w:p>
    <w:p w14:paraId="741A8167">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坚持以习近平新时代中国特色社会主义思想为指导，深入贯彻党的二十大和二十届二中、三中全会精神，全面贯彻习近平经济思想、习近平生态文明思想，完整准确全面贯彻新发展理念，加快构建新发展格局，坚定不移走生态优先、节约集约、绿色低碳高质量发展道路，以碳达峰碳中和工作为引领，协同推进降碳、减污、扩绿、增长，深化生态文明体制改革，健全绿色低碳发展机制，加快经济社会发展全面绿色转型，形成节约资源和保护环境的空间格局、产业结构、生产方式、生活方式，全面推进美丽中国建设，加快推进人与自然和谐共生的现代化。</w:t>
      </w:r>
    </w:p>
    <w:p w14:paraId="2AE1AF12">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工作中要做到：</w:t>
      </w:r>
    </w:p>
    <w:p w14:paraId="4F2FEEDD">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——坚持全面转型。牢固树立绿水青山就是金山银山的理念，将绿色转型的要求融入经济社会发展全局，全方位、全领域、全地域推进绿色转型，构建人与自然生命共同体。</w:t>
      </w:r>
    </w:p>
    <w:p w14:paraId="290455EF">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——坚持协同转型。充分考虑不同地区、不同行业的发展实际，坚持统筹推进与重点突破相结合，科学设定绿色转型的时间表、路线图、施工图，鼓励有条件的地区和行业先行探索。</w:t>
      </w:r>
    </w:p>
    <w:p w14:paraId="4D29FBF3">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——坚持创新转型。强化支撑绿色转型的科技创新、政策制度创新、商业模式创新，推进绿色低碳科技革命，因地制宜发展新质生产力，完善生态文明制度体系，为绿色转型提供更强创新动能和制度保障。</w:t>
      </w:r>
    </w:p>
    <w:p w14:paraId="464C247A">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坚持安全转型。统筹处理好发展和减排、整体和局部、当前和长远、政府和市场的关系，妥善防范化解绿色转型面临的内外部风险挑战，切实保障粮食能源安全、产业链供应链安全，更好保障人民群众生产生活。</w:t>
      </w:r>
    </w:p>
    <w:p w14:paraId="2FD23088">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主要目标是：到2030年，重点领域绿色转型取得积极进展，绿色生产方式和生活方式基本形成，减污降碳协同能力显著增强，主要资源利用效率进一步提升，支持绿色发展的政策和标准体系更加完善，经济社会发展全面绿色转型取得显著成效。到2035年，绿色低碳循环发展经济体系基本建立，绿色生产方式和生活方式广泛形成，减污降碳协同增效取得显著进展，主要资源利用效率达到国际先进水平，经济社会发展全面进入绿色低碳轨道，碳排放达峰后稳中有降，美丽中国目标基本实现。</w:t>
      </w:r>
    </w:p>
    <w:p w14:paraId="13D555B8">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黑体_GBK" w:hAnsi="方正黑体_GBK" w:eastAsia="方正黑体_GBK" w:cs="方正黑体_GBK"/>
          <w:spacing w:val="-3"/>
          <w:sz w:val="32"/>
          <w:szCs w:val="32"/>
        </w:rPr>
      </w:pPr>
      <w:r>
        <w:rPr>
          <w:rFonts w:hint="eastAsia" w:ascii="方正黑体_GBK" w:hAnsi="方正黑体_GBK" w:eastAsia="方正黑体_GBK" w:cs="方正黑体_GBK"/>
          <w:spacing w:val="-3"/>
          <w:sz w:val="32"/>
          <w:szCs w:val="32"/>
        </w:rPr>
        <w:t>二、构建绿色低碳高质量发展空间格局</w:t>
      </w:r>
    </w:p>
    <w:p w14:paraId="2143C94E">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一）优化国土空间开发保护格局。健全全国统一、责权清晰、科学高效的国土空间规划体系，严守耕地和永久基本农田、生态保护红线、城镇开发边界三条控制线，优化各类空间布局。健全主体功能区制度体系，推进主体功能综合布局，细化主体功能区划分，完善差异化政策。加快建设以国家公园为主体、自然保护区为基础、各类自然公园为补充的自然保护地体系。加强生态环境分区管控。健全海洋资源开发保护制度，系统谋划海洋开发利用，推进陆海协同可持续发展。</w:t>
      </w:r>
    </w:p>
    <w:p w14:paraId="39B1EE10">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二）打造绿色发展高地。加强区域绿色发展协作，统筹推进协调发展和协同转型，打造绿色低碳高质量发展的增长极和动力源。推进京津冀协同发展，完善生态环境协同保护机制，支持雄安新区建设成为绿色发展城市典范。持续推进长江经济带共抓大保护，探索生态优先、绿色发展新路径。深入推进粤港澳大湾区建设和长三角一体化发展，打造世界级绿色低碳产业集群。推动海南自由贸易港建设、黄河流域生态保护和高质量发展。建设美丽中国先行区。持续加大对资源型地区和革命老区绿色转型的支持力度，培育发展绿色低碳产业。</w:t>
      </w:r>
    </w:p>
    <w:p w14:paraId="192F5093">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黑体_GBK" w:hAnsi="方正黑体_GBK" w:eastAsia="方正黑体_GBK" w:cs="方正黑体_GBK"/>
          <w:spacing w:val="-3"/>
          <w:sz w:val="32"/>
          <w:szCs w:val="32"/>
        </w:rPr>
      </w:pPr>
      <w:r>
        <w:rPr>
          <w:rFonts w:hint="eastAsia" w:ascii="方正黑体_GBK" w:hAnsi="方正黑体_GBK" w:eastAsia="方正黑体_GBK" w:cs="方正黑体_GBK"/>
          <w:spacing w:val="-3"/>
          <w:sz w:val="32"/>
          <w:szCs w:val="32"/>
        </w:rPr>
        <w:t>三、加快产业结构绿色低碳转型</w:t>
      </w:r>
    </w:p>
    <w:p w14:paraId="7E407F94">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三）推动传统产业绿色低碳改造升级。大力推动钢铁、有色、石化、化工、建材、造纸、印染等行业绿色低碳转型，推广节能低碳和清洁生产技术装备，推进工艺流程更新升级。优化产能规模和布局，持续更新土地、环境、能效、水效和碳排放等约束性标准，以国家标准提升引领传统产业优化升级，建立健全产能退出机制。合理提高新建、改扩建项目资源环境准入门槛，坚决遏制高耗能、高排放、低水平项目盲目上马。</w:t>
      </w:r>
    </w:p>
    <w:p w14:paraId="1E8614D2">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四）大力发展绿色低碳产业。加快发展战略性新兴产业，建设绿色制造体系和服务体系，不断提升绿色低碳产业在经济总量中的比重。加快培育有竞争力的绿色低碳企业，打造一批领军企业和专精特新中小企业。大力推广合同能源管理、合同节水管理、环境污染第三方治理等模式和以环境治理效果为导向的环境托管服务。推动文化产业高质量发展，促进文化和旅游深度融合发展。积极鼓励绿色低碳导向的新产业、新业态、新商业模式加快发展。到2030年，节能环保产业规模达到15万亿元左右。</w:t>
      </w:r>
    </w:p>
    <w:p w14:paraId="4D85BC09">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五）加快数字化绿色化协同转型发展。推进产业数字化智能化同绿色化的深度融合，深化人工智能、大数据、云计算、工业互联网等在电力系统、工农业生产、交通运输、建筑建设运行等领域的应用，实现数字技术赋能绿色转型。推动各类用户“上云、用数、赋智”，支持企业用数智技术、绿色技术改造提升传统产业。推动绿色低碳数字基础设施建设，推进既有设施节能降碳改造，逐步淘汰“老旧小散”设施。引导数字科技企业绿色低碳发展，助力上下游企业提高减碳能力。探索建立环境污染和气象灾害高效监测、主动预警、科学分析、智能决策系统。推进实景三维中国建设与时空信息赋能应用。</w:t>
      </w:r>
    </w:p>
    <w:p w14:paraId="59AA7F5D">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黑体_GBK" w:hAnsi="方正黑体_GBK" w:eastAsia="方正黑体_GBK" w:cs="方正黑体_GBK"/>
          <w:spacing w:val="-3"/>
          <w:sz w:val="32"/>
          <w:szCs w:val="32"/>
        </w:rPr>
      </w:pPr>
      <w:r>
        <w:rPr>
          <w:rFonts w:hint="eastAsia" w:ascii="方正黑体_GBK" w:hAnsi="方正黑体_GBK" w:eastAsia="方正黑体_GBK" w:cs="方正黑体_GBK"/>
          <w:spacing w:val="-3"/>
          <w:sz w:val="32"/>
          <w:szCs w:val="32"/>
        </w:rPr>
        <w:t>四、稳妥推进能源绿色低碳转型</w:t>
      </w:r>
    </w:p>
    <w:p w14:paraId="03B620C2">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六）加强化石能源清洁高效利用。加强能源产供储销体系建设，坚持先立后破，推进非化石能源安全可靠有序替代化石能源，持续优化能源结构，加快规划建设新型能源体系。坚决控制化石能源消费，深入推动煤炭清洁高效利用，“十四五”时期严格合理控制煤炭消费增长，接下来5年逐步减少，在保障能源安全供应的前提下，重点区域继续实施煤炭消费总量控制，积极有序推进散煤替代。加快现役煤电机组节能降碳改造、灵活性改造、供热改造“三改联动”，合理规划建设保障电力系统安全所必需的调节性、支撑性煤电。加大油气资源勘探开发和增储上产力度，加快油气勘探开发与新能源融合发展。推进二氧化碳捕集利用与封存项目建设。</w:t>
      </w:r>
    </w:p>
    <w:p w14:paraId="75AA9C5F">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七）大力发展非化石能源。加快西北风电光伏、西南水电、海上风电、沿海核电等清洁能源基地建设，积极发展分布式光伏、分散式风电，因地制宜开发生物质能、地热能、海洋能等新能源，推进氢能“制储输用”全链条发展。统筹水电开发和生态保护，推进水风光一体化开发。积极安全有序发展核电，保持合理布局和平稳建设节奏。到2030年，非化石能源消费比重提高到25%左右。</w:t>
      </w:r>
    </w:p>
    <w:p w14:paraId="5A118D7B">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八）加快构建新型电力系统。加强清洁能源基地、调节性资源和输电通道在规模能力、空间布局、建设节奏等方面的衔接协同，鼓励在气源可落实、气价可承受地区布局天然气调峰电站，科学布局抽水蓄能、新型储能、光热发电，提升电力系统安全运行和综合调节能力。建设智能电网，加快微电网、虚拟电厂、源网荷储一体化项目建设。加强电力需求侧管理。深化电力体制改革，进一步健全适应新型电力系统的体制机制。到2030年，抽水蓄能装机容量超过1.2亿千瓦。</w:t>
      </w:r>
    </w:p>
    <w:p w14:paraId="6F54FC9D">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黑体_GBK" w:hAnsi="方正黑体_GBK" w:eastAsia="方正黑体_GBK" w:cs="方正黑体_GBK"/>
          <w:spacing w:val="-3"/>
          <w:sz w:val="32"/>
          <w:szCs w:val="32"/>
        </w:rPr>
      </w:pPr>
      <w:r>
        <w:rPr>
          <w:rFonts w:hint="eastAsia" w:ascii="方正黑体_GBK" w:hAnsi="方正黑体_GBK" w:eastAsia="方正黑体_GBK" w:cs="方正黑体_GBK"/>
          <w:spacing w:val="-3"/>
          <w:sz w:val="32"/>
          <w:szCs w:val="32"/>
        </w:rPr>
        <w:t>五、推进交通运输绿色转型</w:t>
      </w:r>
    </w:p>
    <w:p w14:paraId="70BE81E8">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九）优化交通运输结构。构建绿色高效交通运输体系，完善国家铁路、公路、水运网络，推动不同运输方式合理分工、有效衔接，降低空载率和不合理客货运周转量。大力推进多式联运“一单制”、“一箱制”发展，加快货运专用铁路和内河高等级航道网建设，推进主要港口、大型工矿企业和物流园区铁路专用线建设，提高绿色集疏运比例，持续提高大宗货物的铁路、水路运输比重。优化民航航路航线，提升机场运行电动化智能化水平。</w:t>
      </w:r>
    </w:p>
    <w:p w14:paraId="1A92B64D">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十）建设绿色交通基础设施。提升新建车站、机场、码头、高速公路设施绿色化智能化水平，推进既有交通基础设施节能降碳改造提升，建设一批低碳（近零碳）车站、机场、码头、高速公路服务区，因地制宜发展高速公路沿线光伏。完善充（换）电站、加氢（醇）站、岸电等基础设施网络，加快建设城市智慧交通管理系统。完善城乡物流配送体系，推动配送方式绿色智能转型。深入实施城市公共交通优先发展战略，提升公共交通服务水平。加强人行步道和自行车专用道等城市慢行系统建设。</w:t>
      </w:r>
    </w:p>
    <w:p w14:paraId="7B3A357B">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十一）推广低碳交通运输工具。大力推广新能源汽车，推动城市公共服务车辆电动化替代。推动船舶、航空器、非道路移动机械等采用清洁动力，加快淘汰老旧运输工具，推进零排放货运，加强可持续航空燃料研发应用，鼓励净零排放船用燃料研发生产应用。到2030年，营运交通工具单位换算周转量碳排放强度比2020年下降9.5%左右。到2035年，新能源汽车成为新销售车辆的主流。</w:t>
      </w:r>
    </w:p>
    <w:p w14:paraId="0249BB62">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黑体_GBK" w:hAnsi="方正黑体_GBK" w:eastAsia="方正黑体_GBK" w:cs="方正黑体_GBK"/>
          <w:spacing w:val="-3"/>
          <w:sz w:val="32"/>
          <w:szCs w:val="32"/>
        </w:rPr>
      </w:pPr>
      <w:r>
        <w:rPr>
          <w:rFonts w:hint="eastAsia" w:ascii="方正黑体_GBK" w:hAnsi="方正黑体_GBK" w:eastAsia="方正黑体_GBK" w:cs="方正黑体_GBK"/>
          <w:spacing w:val="-3"/>
          <w:sz w:val="32"/>
          <w:szCs w:val="32"/>
        </w:rPr>
        <w:t>六、推进城乡建设发展绿色转型</w:t>
      </w:r>
    </w:p>
    <w:p w14:paraId="0354095D">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十二）推行绿色规划建设方式。在城乡的规划、建设、治理各环节全面落实绿色转型要求。倡导绿色低碳规划设计理念，严守城镇开发边界，控制新增建设用地过快增长，保护和修复绿地、水域、湿地等生态空间，合理规划噪声敏感建筑物集中区域。推进气候适应型城市建设，增强城乡气候韧性。推广绿色建造方式，优先选用绿色建材，深化扬尘污染综合治理。</w:t>
      </w:r>
    </w:p>
    <w:p w14:paraId="0AA9A717">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十三）大力发展绿色低碳建筑。建立建筑能效等级制度。提升新建建筑中星级绿色建筑比例，推动超低能耗建筑规模化发展。加快既有建筑和市政基础设施节能节水降碳改造，推广先进高效照明、空调、电梯等设备。优化建筑用能结构，推进建筑光伏一体化建设，推动“光储直柔”技术应用，发展清洁低碳供暖。</w:t>
      </w:r>
    </w:p>
    <w:p w14:paraId="0FB7DA3E">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十四）推动农业农村绿色发展。实施农业农村减排固碳行动，优化种养结构，推广优良作物畜禽品种和绿色高效栽培养殖技术，推进化肥、农药等农业投入品减量增效。建立健全秸秆、农膜、农药包装废弃物、畜禽粪污等农业废弃物收集利用处理体系，加强秸秆禁烧管控。深入推进农村人居环境整治提升，培育乡村绿色发展新产业新业态。因地制宜开发利用可再生能源，有序推进农村地区清洁取暖。</w:t>
      </w:r>
    </w:p>
    <w:p w14:paraId="36C3D032">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黑体_GBK" w:hAnsi="方正黑体_GBK" w:eastAsia="方正黑体_GBK" w:cs="方正黑体_GBK"/>
          <w:spacing w:val="-3"/>
          <w:sz w:val="32"/>
          <w:szCs w:val="32"/>
        </w:rPr>
      </w:pPr>
      <w:r>
        <w:rPr>
          <w:rFonts w:hint="eastAsia" w:ascii="方正黑体_GBK" w:hAnsi="方正黑体_GBK" w:eastAsia="方正黑体_GBK" w:cs="方正黑体_GBK"/>
          <w:spacing w:val="-3"/>
          <w:sz w:val="32"/>
          <w:szCs w:val="32"/>
        </w:rPr>
        <w:t>七、实施全面节约战略</w:t>
      </w:r>
    </w:p>
    <w:p w14:paraId="0AFFE288">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十五）大力推进节能降碳增效。高水平、高质量抓好节能工作，推动重点行业节能降碳改造，加快设备产品更新换代升级。构建碳排放统计核算体系，加强固定资产投资项目节能审查，探索开展项目碳排放评价，严把新上项目能耗和碳排放关。推动企业建立健全节能降碳管理机制，推广节能降碳“诊断+改造”模式，强化节能监察。</w:t>
      </w:r>
    </w:p>
    <w:p w14:paraId="438799DE">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十六）加强资源节约集约高效利用。完善资源总量管理和全面节约制度，加强水、粮食、土地、矿产等各类资源的全过程管理和全链条节约。落实水资源刚性约束制度，发展节水产业，加强非常规水源利用，建设节水型社会。落实反食品浪费法，健全粮食和食物节约长效机制，开展粮食节约行动。落实最严格的耕地保护制度和土地节约集约利用制度，推广节地技术和节地模式，优化存量土地开发利用，提升海域空间利用效率。加强矿产资源勘查、保护和合理开发，提高开采效率，加强低品位资源利用。</w:t>
      </w:r>
    </w:p>
    <w:p w14:paraId="00B78F50">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十七）大力发展循环经济。深入推进循环经济助力降碳行动，推广资源循环型生产模式，大力发展资源循环利用产业，推动再制造产业高质量发展，提高再生材料和产品质量，扩大对原生资源的替代规模。推进生活垃圾分类，提升资源化利用率。健全废弃物循环利用体系，强化废弃物分类处置和回收能力，提升再生利用规模化、规范化、精细化水平。到2030年，大宗固体废弃物年利用量达到45亿吨左右，主要资源产出率比2020年提高45%左右。</w:t>
      </w:r>
    </w:p>
    <w:p w14:paraId="22E517D2">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黑体_GBK" w:hAnsi="方正黑体_GBK" w:eastAsia="方正黑体_GBK" w:cs="方正黑体_GBK"/>
          <w:spacing w:val="-3"/>
          <w:sz w:val="32"/>
          <w:szCs w:val="32"/>
        </w:rPr>
      </w:pPr>
      <w:r>
        <w:rPr>
          <w:rFonts w:hint="eastAsia" w:ascii="方正黑体_GBK" w:hAnsi="方正黑体_GBK" w:eastAsia="方正黑体_GBK" w:cs="方正黑体_GBK"/>
          <w:spacing w:val="-3"/>
          <w:sz w:val="32"/>
          <w:szCs w:val="32"/>
        </w:rPr>
        <w:t>八、推动消费模式绿色转型</w:t>
      </w:r>
    </w:p>
    <w:p w14:paraId="67B77126">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十八）推广绿色生活方式。大力倡导简约适度、绿色低碳、文明健康的生活理念和消费方式，将绿色理念和节约要求融入市民公约、村规民约、学生守则、团体章程等社会规范，增强全民节约意识、环保意识、生态意识。开展绿色低碳全民行动，引导公众节约用水用电、反对铺张浪费、推广“光盘行动”、抵制过度包装、减少一次性用品使用，引导公众优先选择公共交通、步行、自行车等绿色出行方式，广泛开展爱国卫生运动，推动解决噪声、油烟、恶臭等群众身边的环境问题，形成崇尚生态文明的社会氛围。</w:t>
      </w:r>
    </w:p>
    <w:p w14:paraId="3CD7FDFE">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十九）加大绿色产品供给。引导企业开展绿色设计、选择绿色材料、推行绿色制造、采用绿色包装、开展绿色运输、回收利用资源，降低产品全生命周期能源资源消耗和生态环境影响。建立健全绿色产品设计、采购、制造标准规范，加强绿色产品认证与标识体系建设，完善能效、水效标识制度，建立产品碳足迹管理体系和产品碳标识认证制度。加强绿色产品和服务认证管理，完善认证机构监管机制，培育具有国际影响力的绿色认证机构。</w:t>
      </w:r>
    </w:p>
    <w:p w14:paraId="6CB3CC7A">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二十）积极扩大绿色消费。健全绿色消费激励机制。优化政府绿色采购政策，拓展绿色产品采购范围和规模，适时将碳足迹要求纳入政府采购。引导企业执行绿色采购指南，鼓励有条件的企业建立绿色供应链，带动上下游企业协同转型。支持有条件的地区通过发放消费券、绿色积分等途径，鼓励企业采取“以旧换新”等方式，引导消费者购买绿色产品。开展新能源汽车和绿色智能家电、节水器具、节能灶具、绿色建材下乡活动，加强配套设施建设和售后服务保障。鼓励用户扩大绿色能源消费。</w:t>
      </w:r>
    </w:p>
    <w:p w14:paraId="33526AF2">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黑体_GBK" w:hAnsi="方正黑体_GBK" w:eastAsia="方正黑体_GBK" w:cs="方正黑体_GBK"/>
          <w:spacing w:val="-3"/>
          <w:sz w:val="32"/>
          <w:szCs w:val="32"/>
        </w:rPr>
      </w:pPr>
      <w:r>
        <w:rPr>
          <w:rFonts w:hint="eastAsia" w:ascii="方正黑体_GBK" w:hAnsi="方正黑体_GBK" w:eastAsia="方正黑体_GBK" w:cs="方正黑体_GBK"/>
          <w:spacing w:val="-3"/>
          <w:sz w:val="32"/>
          <w:szCs w:val="32"/>
        </w:rPr>
        <w:t>九、发挥科技创新支撑作用</w:t>
      </w:r>
    </w:p>
    <w:p w14:paraId="00F6D534">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二十一）强化应用基础研究。建立前沿引领技术、颠覆性技术的预测、发现、评估和预警机制，适度超前布局国家重大科研基础设施，组建一批全国重点实验室和国家创新平台，实施一批国家重大前沿科技项目，着力加强绿色低碳领域应用基础研究，激发颠覆性技术创新。创新人才培养模式，优化高校学科专业设置，夯实绿色转型智力基础。</w:t>
      </w:r>
    </w:p>
    <w:p w14:paraId="3F8D82AD">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二十二）加快关键技术研发。推进绿色低碳科技自立自强，将绿色转型相关技术作为国家重点研发计划相关重点专项的重要支持方向，聚焦能源绿色低碳转型、低碳零碳工艺流程再造、新型电力系统、二氧化碳捕集利用与封存、资源节约集约与循环利用、新污染物治理等领域，统筹强化关键核心技术攻关。强化企业科技创新主体地位，支持龙头企业牵头组建关键核心技术攻关联合体，加大对中小企业绿色低碳技术研发的资助力度，鼓励各类所有制企业参与相关国家科技计划。</w:t>
      </w:r>
    </w:p>
    <w:p w14:paraId="6D74ED14">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二十三）开展创新示范推广。发挥创新对绿色转型的关键引领作用。开展多层次试点，推进工业、能源、交通运输、城乡建设、农业等重点领域减污降碳协同增效。实施绿色低碳先进技术示范工程，加快先进适用技术示范应用和推广。完善绿色低碳技术评估、交易体系和科技创新服务平台，探索有利于绿色低碳新产业新业态发展的商业模式，加强绿色低碳技术知识产权创造、保护、运用，激发全社会创新活力。</w:t>
      </w:r>
    </w:p>
    <w:p w14:paraId="55D4C412">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黑体_GBK" w:hAnsi="方正黑体_GBK" w:eastAsia="方正黑体_GBK" w:cs="方正黑体_GBK"/>
          <w:spacing w:val="-3"/>
          <w:sz w:val="32"/>
          <w:szCs w:val="32"/>
        </w:rPr>
      </w:pPr>
      <w:r>
        <w:rPr>
          <w:rFonts w:hint="eastAsia" w:ascii="方正黑体_GBK" w:hAnsi="方正黑体_GBK" w:eastAsia="方正黑体_GBK" w:cs="方正黑体_GBK"/>
          <w:spacing w:val="-3"/>
          <w:sz w:val="32"/>
          <w:szCs w:val="32"/>
        </w:rPr>
        <w:t>十、完善绿色转型政策体系</w:t>
      </w:r>
    </w:p>
    <w:p w14:paraId="3BD29F98">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二十四）健全绿色转型财税政策。积极构建有利于促进绿色低碳发展和资源高效利用的财税政策体系，支持新型能源体系建设、传统行业改造升级、绿色低碳科技创新、能源资源节约集约利用和绿色低碳生活方式推广等领域工作。落实环境保护、节能节水、资源综合利用、新能源和清洁能源车船税收优惠。完善绿色税制，全面推行水资源费改税，完善环境保护税征收体系，研究支持碳减排相关税收政策。</w:t>
      </w:r>
    </w:p>
    <w:p w14:paraId="54CD64BC">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二十五）丰富绿色转型金融工具。延长碳减排支持工具实施年限至2027年年末。研究制定转型金融标准，为传统行业领域绿色低碳转型提供合理必要的金融支持。鼓励银行在合理评估风险基础上引导信贷资源绿色化配置，有条件的地方可通过政府性融资担保机构支持绿色信贷发展。鼓励地方政府通过多种方式降低绿色债券融资成本。积极发展绿色股权融资、绿色融资租赁、绿色信托等金融工具，有序推进碳金融产品和衍生工具创新。发展绿色保险，探索建立差别化保险费率机制。</w:t>
      </w:r>
    </w:p>
    <w:p w14:paraId="6CD4ECC5">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二十六）优化绿色转型投资机制。创新和优化投资机制，鼓励各类资本提升绿色低碳领域投资比例。中央预算内投资对绿色低碳先进技术示范、重点行业节能降碳、资源高效循环利用、环境基础设施建设等领域重点项目积极予以支持。引导和规范社会资本参与绿色低碳项目投资、建设、运营，鼓励社会资本以市场化方式设立绿色低碳产业投资基金。支持符合条件的新能源、生态环境保护等绿色转型相关项目发行基础设施领域不动产投资信托基金（REITs）。</w:t>
      </w:r>
    </w:p>
    <w:p w14:paraId="254BEA0F">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二十七）完善绿色转型价格政策。深化电力价格改革，完善鼓励灵活性电源参与系统调节的价格机制，实行煤电容量电价机制，研究建立健全新型储能价格形成机制，健全阶梯电价制度和分时电价政策，完善高耗能行业阶梯电价制度。完善居民阶梯水价、非居民用水及特种用水超定额累进加价政策，推进农业水价综合改革。支持地方完善收费模式，推进生活垃圾处理收费方式改革，建立城镇生活垃圾分类和减量激励机制。</w:t>
      </w:r>
    </w:p>
    <w:p w14:paraId="0DA7E732">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二十八）健全绿色转型市场化机制。健全资源环境要素市场化配置体系，完善交易制度规范及登记、出让、转让、抵押等配套制度，探索基于资源环境权益的融资工具。健全横向生态保护补偿机制，完善生态产品价值实现机制。推进全国碳排放权交易市场和温室气体自愿减排交易市场建设，健全法规制度，适时有序扩大交易行业范围。完善绿色电力证书交易制度，加强绿电、绿证、碳交易等市场化机制的政策协同。</w:t>
      </w:r>
    </w:p>
    <w:p w14:paraId="6C6EAFCA">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二十九）构建绿色发展标准体系。建立碳达峰碳中和标准体系，推进基础通用标准及碳减排、碳清除相关标准制定修订，制定企业碳排放和产品碳足迹核算、报告、核查等标准。加快节能标准更新升级，提升重点产品能耗限额要求，扩大能耗限额标准覆盖范围。完善可再生能源标准体系和工业绿色低碳标准体系，建立健全氢能“制储输用”标准。</w:t>
      </w:r>
    </w:p>
    <w:p w14:paraId="072FC561">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黑体_GBK" w:hAnsi="方正黑体_GBK" w:eastAsia="方正黑体_GBK" w:cs="方正黑体_GBK"/>
          <w:spacing w:val="-3"/>
          <w:sz w:val="32"/>
          <w:szCs w:val="32"/>
        </w:rPr>
      </w:pPr>
      <w:r>
        <w:rPr>
          <w:rFonts w:hint="eastAsia" w:ascii="方正黑体_GBK" w:hAnsi="方正黑体_GBK" w:eastAsia="方正黑体_GBK" w:cs="方正黑体_GBK"/>
          <w:spacing w:val="-3"/>
          <w:sz w:val="32"/>
          <w:szCs w:val="32"/>
        </w:rPr>
        <w:t>十一、加强绿色转型国际合作</w:t>
      </w:r>
    </w:p>
    <w:p w14:paraId="044F6DAD">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三十）参与引领全球绿色转型进程。秉持人类命运共同体理念，积极参与应对气候变化、海洋污染治理、生物多样性保护、塑料污染治理等领域国际规则制定，推动构建公平合理、合作共赢的全球环境气候治理体系。推动落实全球发展倡议，加强南南合作以及同周边国家合作，在力所能及范围内为发展中国家提供支持。</w:t>
      </w:r>
    </w:p>
    <w:p w14:paraId="040FF9A5">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三十一）加强政策交流和务实合作。拓展多双边对话合作渠道，加强绿色发展领域的多边合作平台建设，大力宣传中国绿色转型成效，积极借鉴国际经验。加强绿色投资和贸易合作，推进“绿色丝绸之路”建设，深化与有关国家务实合作，提高境外项目环境可持续性，鼓励绿色低碳产品进出口。加强绿色技术合作，鼓励高校、科研机构与外方开展学术交流，积极参与国际大科学工程。加强绿色标准与合格评定国际合作，参与相关国际标准制定修订，推动与主要贸易伙伴在碳足迹等规则方面衔接互认。</w:t>
      </w:r>
    </w:p>
    <w:p w14:paraId="7A6EB4C8">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黑体_GBK" w:hAnsi="方正黑体_GBK" w:eastAsia="方正黑体_GBK" w:cs="方正黑体_GBK"/>
          <w:spacing w:val="-3"/>
          <w:sz w:val="32"/>
          <w:szCs w:val="32"/>
        </w:rPr>
      </w:pPr>
      <w:r>
        <w:rPr>
          <w:rFonts w:hint="eastAsia" w:ascii="方正黑体_GBK" w:hAnsi="方正黑体_GBK" w:eastAsia="方正黑体_GBK" w:cs="方正黑体_GBK"/>
          <w:spacing w:val="-3"/>
          <w:sz w:val="32"/>
          <w:szCs w:val="32"/>
        </w:rPr>
        <w:t>十二、组织实施</w:t>
      </w:r>
    </w:p>
    <w:p w14:paraId="2F781704">
      <w:pPr>
        <w:keepNext w:val="0"/>
        <w:keepLines w:val="0"/>
        <w:pageBreakBefore w:val="0"/>
        <w:widowControl w:val="0"/>
        <w:kinsoku/>
        <w:wordWrap/>
        <w:overflowPunct/>
        <w:topLinePunct w:val="0"/>
        <w:autoSpaceDE/>
        <w:autoSpaceDN/>
        <w:bidi w:val="0"/>
        <w:adjustRightInd w:val="0"/>
        <w:snapToGrid w:val="0"/>
        <w:spacing w:line="560" w:lineRule="exact"/>
        <w:ind w:left="0" w:right="0" w:firstLine="628" w:firstLineChars="200"/>
        <w:textAlignment w:val="auto"/>
        <w:rPr>
          <w:rFonts w:hint="eastAsia" w:ascii="方正仿宋_GBK" w:hAnsi="方正仿宋_GBK" w:eastAsia="方正仿宋_GBK" w:cs="方正仿宋_GBK"/>
          <w:spacing w:val="-3"/>
          <w:sz w:val="32"/>
          <w:szCs w:val="32"/>
        </w:rPr>
      </w:pPr>
      <w:r>
        <w:rPr>
          <w:rFonts w:hint="eastAsia" w:ascii="方正仿宋_GBK" w:hAnsi="方正仿宋_GBK" w:eastAsia="方正仿宋_GBK" w:cs="方正仿宋_GBK"/>
          <w:spacing w:val="-3"/>
          <w:sz w:val="32"/>
          <w:szCs w:val="32"/>
        </w:rPr>
        <w:t>（三十二）坚持和加强党的全面领导。在党中央集中统一领导下，加快推进经济社会发展全面绿色转型，把党的领导贯彻到工作的全过程和各方面。各地区各部门要明确本地区本部门绿色转型的重点任务，结合实际抓好本意见贯彻落实。各相关单位、人民团体、社会组织要积极推进本领域绿色转型工作。国家发展改革委要加强统筹协调，会同有关部门建立能耗双控向碳排放双控全面转型新机制，制定实施碳达峰碳中和综合评价考核制度，科学开展考核，加强评价考核结果应用。重要情况及时按程序向党中央、国务院请示报告。</w:t>
      </w:r>
    </w:p>
    <w:p w14:paraId="7AFA411C">
      <w:pPr>
        <w:keepNext w:val="0"/>
        <w:keepLines w:val="0"/>
        <w:pageBreakBefore w:val="0"/>
        <w:kinsoku/>
        <w:wordWrap/>
        <w:overflowPunct/>
        <w:topLinePunct w:val="0"/>
        <w:autoSpaceDE/>
        <w:autoSpaceDN/>
        <w:bidi w:val="0"/>
        <w:adjustRightInd w:val="0"/>
        <w:snapToGrid w:val="0"/>
        <w:spacing w:line="560" w:lineRule="exact"/>
        <w:ind w:left="0" w:right="0" w:firstLine="628" w:firstLineChars="200"/>
        <w:jc w:val="left"/>
        <w:textAlignment w:val="auto"/>
        <w:outlineLvl w:val="0"/>
        <w:rPr>
          <w:rFonts w:hint="eastAsia" w:ascii="方正仿宋_GBK" w:hAnsi="方正仿宋_GBK" w:eastAsia="方正仿宋_GBK" w:cs="方正仿宋_GBK"/>
          <w:spacing w:val="-3"/>
          <w:sz w:val="31"/>
          <w:szCs w:val="31"/>
          <w:lang w:eastAsia="zh-CN"/>
        </w:rPr>
      </w:pPr>
      <w:bookmarkStart w:id="40" w:name="_Toc31622"/>
      <w:bookmarkStart w:id="41" w:name="_Toc6316"/>
      <w:r>
        <w:rPr>
          <w:rFonts w:hint="eastAsia" w:ascii="方正仿宋_GBK" w:hAnsi="方正仿宋_GBK" w:eastAsia="方正仿宋_GBK" w:cs="方正仿宋_GBK"/>
          <w:spacing w:val="-3"/>
          <w:sz w:val="32"/>
          <w:szCs w:val="32"/>
        </w:rPr>
        <w:t>（三十三）加强法治保障。各有关单位要加快推进生态环境法典和能源法、节约能源法、电力法、煤炭法、可再生能源法、循环经济促进法等法律法规制定修订工作，研究制定应对气候变化和碳达峰碳中和专项法律。落实民法典绿色原则，引导民事主体节约能源资源、保护生态环境。健全行政执法与刑事司法衔接机制。依法开展生态环境损害赔偿诉讼、生态环境和资源保护领域公益诉讼，完善生态环境损害赔偿和修复机制。</w:t>
      </w:r>
      <w:bookmarkEnd w:id="40"/>
      <w:bookmarkEnd w:id="41"/>
      <w:bookmarkStart w:id="42" w:name="_Toc5017"/>
      <w:bookmarkStart w:id="43" w:name="_Toc26350"/>
    </w:p>
    <w:p w14:paraId="06860989">
      <w:pPr>
        <w:keepNext w:val="0"/>
        <w:keepLines w:val="0"/>
        <w:pageBreakBefore w:val="0"/>
        <w:kinsoku/>
        <w:wordWrap/>
        <w:overflowPunct/>
        <w:topLinePunct w:val="0"/>
        <w:autoSpaceDE/>
        <w:autoSpaceDN/>
        <w:bidi w:val="0"/>
        <w:adjustRightInd w:val="0"/>
        <w:snapToGrid w:val="0"/>
        <w:spacing w:line="560" w:lineRule="exact"/>
        <w:ind w:left="0" w:right="0"/>
        <w:jc w:val="left"/>
        <w:textAlignment w:val="auto"/>
        <w:outlineLvl w:val="0"/>
        <w:rPr>
          <w:rFonts w:hint="eastAsia" w:ascii="方正仿宋_GBK" w:hAnsi="方正仿宋_GBK" w:eastAsia="方正仿宋_GBK" w:cs="方正仿宋_GBK"/>
          <w:color w:val="auto"/>
          <w:sz w:val="32"/>
          <w:szCs w:val="32"/>
        </w:rPr>
      </w:pPr>
    </w:p>
    <w:p w14:paraId="3501DB68">
      <w:pPr>
        <w:keepNext w:val="0"/>
        <w:keepLines w:val="0"/>
        <w:pageBreakBefore w:val="0"/>
        <w:kinsoku/>
        <w:wordWrap/>
        <w:overflowPunct/>
        <w:topLinePunct w:val="0"/>
        <w:autoSpaceDE/>
        <w:autoSpaceDN/>
        <w:bidi w:val="0"/>
        <w:adjustRightInd w:val="0"/>
        <w:snapToGrid w:val="0"/>
        <w:spacing w:line="560" w:lineRule="exact"/>
        <w:ind w:left="0" w:right="0"/>
        <w:jc w:val="left"/>
        <w:textAlignment w:val="auto"/>
        <w:outlineLvl w:val="0"/>
        <w:rPr>
          <w:rFonts w:hint="eastAsia" w:ascii="方正小标宋_GBK" w:hAnsi="方正小标宋_GBK" w:eastAsia="方正小标宋_GBK" w:cs="方正小标宋_GBK"/>
          <w:color w:val="auto"/>
          <w:sz w:val="36"/>
          <w:szCs w:val="36"/>
          <w:lang w:val="en-US" w:eastAsia="zh-CN"/>
        </w:rPr>
      </w:pPr>
      <w:bookmarkStart w:id="44" w:name="_Toc13957"/>
      <w:bookmarkStart w:id="45" w:name="_Toc26756"/>
      <w:r>
        <w:rPr>
          <w:rFonts w:hint="eastAsia" w:ascii="方正仿宋_GBK" w:hAnsi="方正仿宋_GBK" w:eastAsia="方正仿宋_GBK" w:cs="方正仿宋_GBK"/>
          <w:color w:val="auto"/>
          <w:sz w:val="32"/>
          <w:szCs w:val="32"/>
        </w:rPr>
        <w:t>发布时间：2024年08月12日 09:58 来源：</w:t>
      </w:r>
      <w:bookmarkEnd w:id="42"/>
      <w:bookmarkEnd w:id="43"/>
      <w:r>
        <w:rPr>
          <w:rFonts w:hint="eastAsia" w:ascii="方正仿宋_GBK" w:hAnsi="方正仿宋_GBK" w:eastAsia="方正仿宋_GBK" w:cs="方正仿宋_GBK"/>
          <w:color w:val="auto"/>
          <w:sz w:val="32"/>
          <w:szCs w:val="32"/>
        </w:rPr>
        <w:t>重庆党员教育</w:t>
      </w:r>
      <w:bookmarkEnd w:id="44"/>
      <w:bookmarkEnd w:id="45"/>
    </w:p>
    <w:p w14:paraId="28F910D3">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br w:type="page"/>
      </w:r>
    </w:p>
    <w:p w14:paraId="285C7576">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sectPr>
          <w:pgSz w:w="11906" w:h="16838"/>
          <w:pgMar w:top="1984" w:right="1474" w:bottom="1644" w:left="1474" w:header="851" w:footer="992" w:gutter="0"/>
          <w:pgNumType w:fmt="decimal"/>
          <w:cols w:space="0" w:num="1"/>
          <w:rtlGutter w:val="0"/>
          <w:docGrid w:type="lines" w:linePitch="312" w:charSpace="0"/>
        </w:sectPr>
      </w:pPr>
    </w:p>
    <w:p w14:paraId="122A06DC">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46" w:name="_Toc11961"/>
      <w:bookmarkStart w:id="47" w:name="_Toc19182"/>
      <w:r>
        <w:rPr>
          <w:rFonts w:hint="eastAsia" w:ascii="方正小标宋_GBK" w:hAnsi="方正小标宋_GBK" w:eastAsia="方正小标宋_GBK" w:cs="方正小标宋_GBK"/>
          <w:color w:val="auto"/>
          <w:sz w:val="36"/>
          <w:szCs w:val="36"/>
          <w:lang w:val="en-US" w:eastAsia="zh-CN"/>
        </w:rPr>
        <w:t>学习内容七：</w:t>
      </w:r>
      <w:bookmarkEnd w:id="46"/>
      <w:bookmarkEnd w:id="47"/>
    </w:p>
    <w:p w14:paraId="78969A37">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36"/>
          <w:szCs w:val="36"/>
          <w:lang w:val="en-US" w:eastAsia="zh-CN"/>
        </w:rPr>
      </w:pPr>
      <w:bookmarkStart w:id="48" w:name="_Toc31922"/>
      <w:bookmarkStart w:id="49" w:name="_Toc25042"/>
      <w:r>
        <w:rPr>
          <w:rFonts w:hint="eastAsia" w:ascii="方正小标宋_GBK" w:hAnsi="方正小标宋_GBK" w:eastAsia="方正小标宋_GBK" w:cs="方正小标宋_GBK"/>
          <w:color w:val="auto"/>
          <w:sz w:val="36"/>
          <w:szCs w:val="36"/>
          <w:lang w:val="en-US" w:eastAsia="zh-CN"/>
        </w:rPr>
        <w:t>市委常委会举行会议 深入学习贯彻习近平总书记重要指示精神 研究部署推动机关党建高质量发展等工作 市委书记袁家军主持并讲话</w:t>
      </w:r>
      <w:bookmarkEnd w:id="48"/>
      <w:bookmarkEnd w:id="49"/>
    </w:p>
    <w:p w14:paraId="3ED7825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0"/>
          <w:sz w:val="32"/>
          <w:szCs w:val="32"/>
          <w:lang w:val="en-US" w:eastAsia="zh-CN" w:bidi="ar"/>
        </w:rPr>
      </w:pPr>
    </w:p>
    <w:p w14:paraId="56C9199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0"/>
          <w:sz w:val="32"/>
          <w:szCs w:val="32"/>
          <w:lang w:val="en-US" w:eastAsia="zh-CN" w:bidi="ar"/>
        </w:rPr>
      </w:pPr>
      <w:bookmarkStart w:id="50" w:name="_Toc650"/>
      <w:bookmarkStart w:id="51" w:name="_Toc7388"/>
      <w:r>
        <w:rPr>
          <w:rFonts w:hint="eastAsia" w:ascii="方正仿宋_GBK" w:hAnsi="方正仿宋_GBK" w:eastAsia="方正仿宋_GBK" w:cs="方正仿宋_GBK"/>
          <w:color w:val="auto"/>
          <w:kern w:val="0"/>
          <w:sz w:val="32"/>
          <w:szCs w:val="32"/>
          <w:lang w:val="en-US" w:eastAsia="zh-CN" w:bidi="ar"/>
        </w:rPr>
        <w:t>8月15日下午，市委常委会举行会议，深入学习贯彻习近平总书记就中央和国家机关学习贯彻党的二十届三中全会精神推动机关党建高质量发展、对加强文化和自然遗产保护传承利用工作、对退役军人工作作出的重要指示精神，听取我市高新技术企业和科技型企业“双倍增”行动推进情况汇报，研究部署有关工作。</w:t>
      </w:r>
      <w:bookmarkEnd w:id="50"/>
      <w:bookmarkEnd w:id="51"/>
    </w:p>
    <w:p w14:paraId="02F5EF5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0"/>
          <w:sz w:val="32"/>
          <w:szCs w:val="32"/>
          <w:lang w:val="en-US" w:eastAsia="zh-CN" w:bidi="ar"/>
        </w:rPr>
      </w:pPr>
      <w:bookmarkStart w:id="52" w:name="_Toc21675"/>
      <w:bookmarkStart w:id="53" w:name="_Toc20676"/>
      <w:r>
        <w:rPr>
          <w:rFonts w:hint="eastAsia" w:ascii="方正仿宋_GBK" w:hAnsi="方正仿宋_GBK" w:eastAsia="方正仿宋_GBK" w:cs="方正仿宋_GBK"/>
          <w:color w:val="auto"/>
          <w:kern w:val="0"/>
          <w:sz w:val="32"/>
          <w:szCs w:val="32"/>
          <w:lang w:val="en-US" w:eastAsia="zh-CN" w:bidi="ar"/>
        </w:rPr>
        <w:t>市委书记袁家军主持会议并讲话。</w:t>
      </w:r>
      <w:bookmarkEnd w:id="52"/>
      <w:bookmarkEnd w:id="53"/>
    </w:p>
    <w:p w14:paraId="30CACDB2">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0"/>
          <w:sz w:val="32"/>
          <w:szCs w:val="32"/>
          <w:lang w:val="en-US" w:eastAsia="zh-CN" w:bidi="ar"/>
        </w:rPr>
      </w:pPr>
      <w:bookmarkStart w:id="54" w:name="_Toc31139"/>
      <w:bookmarkStart w:id="55" w:name="_Toc31303"/>
      <w:r>
        <w:rPr>
          <w:rFonts w:hint="eastAsia" w:ascii="方正仿宋_GBK" w:hAnsi="方正仿宋_GBK" w:eastAsia="方正仿宋_GBK" w:cs="方正仿宋_GBK"/>
          <w:color w:val="auto"/>
          <w:kern w:val="0"/>
          <w:sz w:val="32"/>
          <w:szCs w:val="32"/>
          <w:lang w:val="en-US" w:eastAsia="zh-CN" w:bidi="ar"/>
        </w:rPr>
        <w:t>会议指出，市直机关是市一级做到“总书记有号令、党中央有部署，重庆见行动”的“最初一公里”。要深入学习贯彻习近平总书记就中央和国家机关学习贯彻党的二十届三中全会精神、推动机关党建高质量发展作出的重要指示精神，把坚决拥护“两个确立”、坚决做到“两个维护”作为根本政治要求，带头严格落实党委（党组）理论中心组学习、第一议题等制度，深入开展政治机关意识教育和对党忠诚教育，推动习近平总书记重要指示批示和党中央重大决策部署闭环落实、一贯到底。要坚持对标对表，组织机关党员干部原原本本、全面系统学习领会党的二十届三中全会精神，不断夯实进一步全面深化改革的思想根基，充分调动各级党组织和党员干部抓改革、促发展的积极性主动性创造性，打造更多标志性改革成果。要加快打造新时代“红岩先锋”变革型组织，健全机关党建和业务工作深度融合机制，构建数字化智能化现代党政机关运行新模式，总结党纪学习教育经验做法，持续正风肃纪反腐，抓实清廉机关建设。要建立健全机关党建工作机制，各相关部门要树立一盘棋思想，各部门党组（党委）要加强党建工作监督指导，更好以高质量党建激励各级干部担当作为、实干争先、狠抓落实。</w:t>
      </w:r>
      <w:bookmarkEnd w:id="54"/>
      <w:bookmarkEnd w:id="55"/>
    </w:p>
    <w:p w14:paraId="31BC616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0"/>
          <w:sz w:val="32"/>
          <w:szCs w:val="32"/>
          <w:lang w:val="en-US" w:eastAsia="zh-CN" w:bidi="ar"/>
        </w:rPr>
      </w:pPr>
      <w:bookmarkStart w:id="56" w:name="_Toc5715"/>
      <w:bookmarkStart w:id="57" w:name="_Toc8326"/>
      <w:r>
        <w:rPr>
          <w:rFonts w:hint="eastAsia" w:ascii="方正仿宋_GBK" w:hAnsi="方正仿宋_GBK" w:eastAsia="方正仿宋_GBK" w:cs="方正仿宋_GBK"/>
          <w:color w:val="auto"/>
          <w:kern w:val="0"/>
          <w:sz w:val="32"/>
          <w:szCs w:val="32"/>
          <w:lang w:val="en-US" w:eastAsia="zh-CN" w:bidi="ar"/>
        </w:rPr>
        <w:t>会议强调，要深入学习贯彻习近平总书记重要指示精神，深刻领会把握守护好中华民族的文化瑰宝和自然珍宝的首要任务、更好满足人民群众的美好生活需求的价值取向、加强文化和自然遗产领域国际交流合作的开放导向，努力开创文化和自然遗产保护传承利用工作新局面，为文化强国建设作出更大贡献。要坚持保护第一，积极探索建立文物、非物质文化、历史建筑、历史文化名城名镇名村、传统村落、烈士纪念设施等文化遗产和自然遗产一体保护机制，加快形成统一平台、统一标准、统一监管的大保护格局。要突出活化利用做好惠民利民富民转化文章，以巴渝文脉、山脉、水脉、古道等为经络推动文化遗产、自然遗产、景区景点串珠成链，发展新业态新模式，让文化和自然遗产成为群众增收“富矿”。要扩大开放合作擦亮重庆文化“金字招牌”，打造世界文化遗产集群，建设彰显中国味、巴渝韵的世界级遗产旅游胜地。要完善政策法规体系，加大文化遗产保护督察力度，加强文物保护机构和队伍建设，优化人才引育机制，营造文化和自然遗产保护传承利用良好氛围。</w:t>
      </w:r>
      <w:bookmarkEnd w:id="56"/>
      <w:bookmarkEnd w:id="57"/>
    </w:p>
    <w:p w14:paraId="0DC9663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0"/>
          <w:sz w:val="32"/>
          <w:szCs w:val="32"/>
          <w:lang w:val="en-US" w:eastAsia="zh-CN" w:bidi="ar"/>
        </w:rPr>
      </w:pPr>
      <w:bookmarkStart w:id="58" w:name="_Toc17549"/>
      <w:bookmarkStart w:id="59" w:name="_Toc11779"/>
      <w:r>
        <w:rPr>
          <w:rFonts w:hint="eastAsia" w:ascii="方正仿宋_GBK" w:hAnsi="方正仿宋_GBK" w:eastAsia="方正仿宋_GBK" w:cs="方正仿宋_GBK"/>
          <w:color w:val="auto"/>
          <w:kern w:val="0"/>
          <w:sz w:val="32"/>
          <w:szCs w:val="32"/>
          <w:lang w:val="en-US" w:eastAsia="zh-CN" w:bidi="ar"/>
        </w:rPr>
        <w:t>会议听取全国退役军人工作会议精神及我市贯彻落实工作汇报。会议指出，要坚决把思想和行动统一到习近平总书记重要指示精神上来，牢牢把握退役军人工作政治属性，以党的创新理论教育引领、以先进典型示范引领、以现代化新重庆建设动员引领退役军人，教育引导退役军人永葆革命军人本色，始终感党恩、听党话、跟党走，在全市改革发展稳定大局中发挥独特作用、展现优势特长。要用心用情用力全方位做好服务保障，及时回应解决退役军人急难愁盼问题，依法公正做好就业安置工作，精准精细做好优抚工作，高质高效做好双拥工作，不断增强退役军人获得感、幸福感、荣誉感。要坚决扛起责任确保退役军人各项工作落实落地、见行见效，加强统筹领导，做好退役军人事务领域改革整体谋划，全面加强退役军人事务系统自身建设，打造专业化干部队伍，扎实推动全市退役军人工作走在全国前列。</w:t>
      </w:r>
      <w:bookmarkEnd w:id="58"/>
      <w:bookmarkEnd w:id="59"/>
    </w:p>
    <w:p w14:paraId="19622264">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0"/>
          <w:sz w:val="32"/>
          <w:szCs w:val="32"/>
          <w:lang w:val="en-US" w:eastAsia="zh-CN" w:bidi="ar"/>
        </w:rPr>
      </w:pPr>
      <w:r>
        <w:rPr>
          <w:rFonts w:hint="eastAsia" w:ascii="方正仿宋_GBK" w:hAnsi="方正仿宋_GBK" w:eastAsia="方正仿宋_GBK" w:cs="方正仿宋_GBK"/>
          <w:color w:val="auto"/>
          <w:kern w:val="0"/>
          <w:sz w:val="32"/>
          <w:szCs w:val="32"/>
          <w:lang w:val="en-US" w:eastAsia="zh-CN" w:bidi="ar"/>
        </w:rPr>
        <w:t>会议强调，高新技术企业和科技型企业“双倍增”行动是加快建设具有全国影响力的科技创新中心，构建现代化产业体系、推动高质量发展的关键切口，具有牵一发动全身的重要作用。要完善梯度培育体系，健全小微科技企业孵化机制，持续提升中小企业创新能力，大力实施大规模设备更新和技术改造，积极推进现代生产性服务业高质量发展，促进大企业带小企业联动发展，“一企一策”健全科技领军企业培育机制，加快形成大企业顶天立地、中小企业铺天盖地的科技企业集群。要优化创新服务体系，完善科技金融服务，深化落实科技成果转化机制改革，强化国企、民企作用推动科技成果转化，优化科技企业申报服务“一件事”，精准开展“三服务”，做到服务企业有求必应、无事不扰，营造一流科技创新生态。要持续迭代政策支撑体系，严格落实税收优惠政策，完善财政支持政策，规范区县和园区开发区扶持政策，更好实现政策叠加效应。全市各级各部门要强化改革创新、积极主动作为，立足本领域扎实推动“双倍增”取得更大成果，为现代化新重庆建设注入强劲动力。</w:t>
      </w:r>
    </w:p>
    <w:p w14:paraId="59AA5F42">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p>
    <w:p w14:paraId="47BEF2C2">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 xml:space="preserve">发布时间：2024年08月15日 20:01 来源：重庆日报 </w:t>
      </w:r>
    </w:p>
    <w:p w14:paraId="24B4D539">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default" w:ascii="方正仿宋_GBK" w:hAnsi="方正仿宋_GBK" w:eastAsia="方正仿宋_GBK" w:cs="方正仿宋_GBK"/>
          <w:color w:val="auto"/>
          <w:sz w:val="32"/>
          <w:szCs w:val="32"/>
          <w:lang w:val="en-US" w:eastAsia="zh-CN"/>
        </w:rPr>
        <w:sectPr>
          <w:footerReference r:id="rId5" w:type="default"/>
          <w:pgSz w:w="11906" w:h="16838"/>
          <w:pgMar w:top="1984" w:right="1474" w:bottom="1644" w:left="1474" w:header="851" w:footer="992" w:gutter="0"/>
          <w:pgNumType w:fmt="decimal"/>
          <w:cols w:space="0" w:num="1"/>
          <w:rtlGutter w:val="0"/>
          <w:docGrid w:type="lines" w:linePitch="312" w:charSpace="0"/>
        </w:sectPr>
      </w:pPr>
    </w:p>
    <w:p w14:paraId="4316A528">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60" w:name="_Toc29844"/>
      <w:r>
        <w:rPr>
          <w:rFonts w:hint="eastAsia" w:ascii="方正小标宋_GBK" w:hAnsi="方正小标宋_GBK" w:eastAsia="方正小标宋_GBK" w:cs="方正小标宋_GBK"/>
          <w:color w:val="auto"/>
          <w:sz w:val="36"/>
          <w:szCs w:val="36"/>
          <w:lang w:val="en-US" w:eastAsia="zh-CN"/>
        </w:rPr>
        <w:t>学习内容八：</w:t>
      </w:r>
      <w:bookmarkEnd w:id="60"/>
    </w:p>
    <w:p w14:paraId="4E507B6C">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36"/>
          <w:szCs w:val="36"/>
          <w:lang w:val="en-US" w:eastAsia="zh-CN"/>
        </w:rPr>
      </w:pPr>
      <w:bookmarkStart w:id="61" w:name="_Toc17594"/>
      <w:r>
        <w:rPr>
          <w:rFonts w:hint="eastAsia" w:ascii="方正小标宋_GBK" w:hAnsi="方正小标宋_GBK" w:eastAsia="方正小标宋_GBK" w:cs="方正小标宋_GBK"/>
          <w:color w:val="auto"/>
          <w:sz w:val="36"/>
          <w:szCs w:val="36"/>
          <w:lang w:val="en-US" w:eastAsia="zh-CN"/>
        </w:rPr>
        <w:t>袁家军赴科研单位宣讲党的二十届三中全会精神并调研科技创新工作 深化“四链”融合 打造科技创新标志性成果</w:t>
      </w:r>
      <w:bookmarkEnd w:id="61"/>
    </w:p>
    <w:p w14:paraId="147C6966">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p>
    <w:p w14:paraId="67BA340E">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8月14日上午，市委书记袁家军赴部分科研单位，宣讲党的二十届三中全会精神，调研科技创新工作。他强调，要认真学习贯彻党的二十届三中全会精神，全面落实习近平总书记视察重庆重要讲话重要指示精神，坚持“四个面向”的战略导向，积极构建支持全面创新体制机制，进一步深化科技体制改革，深化创新链、产业链、资金链、人才链“四链”融合，奋力打造科技创新标志性成果，为现代化新重庆建设提供强大科技支撑。</w:t>
      </w:r>
    </w:p>
    <w:p w14:paraId="12FE0D19">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市领导陈新武、刘尚进参加。</w:t>
      </w:r>
    </w:p>
    <w:p w14:paraId="45DD2A51">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国科学院重庆绿色智能技术研究院大力推进核心技术创新、科技成果转化，取得积极成效。袁家军听取研究院发展情况介绍，了解重点实验室建设、高端人才培养、科教创产融合等方面取得的进展。在水污染过程与防治研究中心，袁家军详细询问水污染治理技术创新、工艺流程等，希望研究院进一步发挥“国家队”优势，努力在核心技术攻关、高性能设备研发等方面打造更多成果，为超大城市水污染防治提供系统解决方案，携手筑牢长江上游重要生态屏障。</w:t>
      </w:r>
    </w:p>
    <w:p w14:paraId="273A6556">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在同科技工作者交流时，袁家军指出，党的二十届三中全会对构建支持全面创新体制机制，深化科技体制改革作出重大部署。各级科研单位和科技工作者要认真学习贯彻三中全会精神，突出需求牵引和技术进步协同发力，深化做好科技金融文章，加快“四链”融合，推动更多科技成果转移转化、形成产业。希望研究院聚焦重庆经济社会发展重点领域，积极探索共建重点实验室，不断增加高质量科技供给，努力形成科技创新标志性成果。各级各有关部门要营造良好创新生态，科学布局孵化平台，持续增强创新发展动能。</w:t>
      </w:r>
    </w:p>
    <w:p w14:paraId="01BE6CF0">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国汽车工程研究院是国内一流的汽车产品开发、试验研究、质量检测公共科技创新平台。袁家军考察整车天线OTA实验室、汽车安全技术中心，观看汽车安全指数侧面碰撞试验。在听取有关情况介绍后，袁家军希望企业建立标准化汽车测评体系，在关键技术、产业生态和标准制定等方面取得更大突破，为重庆打造万亿级智能网联新能源汽车产业集群提供有力支撑。</w:t>
      </w:r>
    </w:p>
    <w:p w14:paraId="0FF68DCE">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袁家军在调研中强调，全市上下要一体学习贯彻党的二十届三中全会精神和习近平总书记视察重庆重要讲话重要指示精神，积极构建支持全面创新体制机制，持续完善“416”科技创新布局，因地制宜发展新质生产力，塑造高质量发展新动能新优势。要深化科技体制改革，统筹各类创新平台建设，加强创新资源和力量组织，提升科技创新投入效能，进一步畅通教育、科技、人才良性循环。要强化企业科技创新主体地位，引导企业与高校、科研机构密切合作，发挥科技领军企业龙头作用，面向产业需求联合开展科研攻关、协同培养科技人才，推动企业主导的产学研用融通创新。各级党委和政府要认真贯彻党中央决策部署，深入实施科技创新和人才强市首位战略，加强对科技工作的组织领导、科学管理，全力做好服务保障，更好凝聚推动科技创新的强大合力。</w:t>
      </w:r>
    </w:p>
    <w:p w14:paraId="7FFEF7D9">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市有关部门负责人参加。</w:t>
      </w:r>
    </w:p>
    <w:p w14:paraId="105CA13B">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p>
    <w:p w14:paraId="5BE43261">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发布时间：2024年08月15日 09:36 来源：重庆党员教育</w:t>
      </w:r>
    </w:p>
    <w:p w14:paraId="0BFB4F6E">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sectPr>
          <w:pgSz w:w="11906" w:h="16838"/>
          <w:pgMar w:top="1984" w:right="1474" w:bottom="1644" w:left="1474" w:header="851" w:footer="992" w:gutter="0"/>
          <w:pgNumType w:fmt="decimal"/>
          <w:cols w:space="0" w:num="1"/>
          <w:rtlGutter w:val="0"/>
          <w:docGrid w:type="lines" w:linePitch="312" w:charSpace="0"/>
        </w:sectPr>
      </w:pPr>
    </w:p>
    <w:p w14:paraId="469050A1">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drawing>
          <wp:anchor distT="0" distB="0" distL="114300" distR="114300" simplePos="0" relativeHeight="251659264" behindDoc="1" locked="0" layoutInCell="1" allowOverlap="1">
            <wp:simplePos x="0" y="0"/>
            <wp:positionH relativeFrom="column">
              <wp:posOffset>-980440</wp:posOffset>
            </wp:positionH>
            <wp:positionV relativeFrom="paragraph">
              <wp:posOffset>-1266825</wp:posOffset>
            </wp:positionV>
            <wp:extent cx="7718425" cy="11995785"/>
            <wp:effectExtent l="0" t="0" r="8255" b="13335"/>
            <wp:wrapNone/>
            <wp:docPr id="27" name="图片 2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11"/>
                    <pic:cNvPicPr>
                      <a:picLocks noChangeAspect="1"/>
                    </pic:cNvPicPr>
                  </pic:nvPicPr>
                  <pic:blipFill>
                    <a:blip r:embed="rId9"/>
                    <a:stretch>
                      <a:fillRect/>
                    </a:stretch>
                  </pic:blipFill>
                  <pic:spPr>
                    <a:xfrm>
                      <a:off x="0" y="0"/>
                      <a:ext cx="7718425" cy="11995785"/>
                    </a:xfrm>
                    <a:prstGeom prst="rect">
                      <a:avLst/>
                    </a:prstGeom>
                  </pic:spPr>
                </pic:pic>
              </a:graphicData>
            </a:graphic>
          </wp:anchor>
        </w:drawing>
      </w:r>
    </w:p>
    <w:p w14:paraId="41715F0F">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p>
    <w:sectPr>
      <w:footerReference r:id="rId6" w:type="default"/>
      <w:pgSz w:w="11906" w:h="16838"/>
      <w:pgMar w:top="1984" w:right="1474" w:bottom="1644" w:left="1474"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方正小标宋_GBK">
    <w:panose1 w:val="02000000000000000000"/>
    <w:charset w:val="86"/>
    <w:family w:val="auto"/>
    <w:pitch w:val="default"/>
    <w:sig w:usb0="00000001" w:usb1="080E0000" w:usb2="00000000" w:usb3="00000000" w:csb0="00040000" w:csb1="00000000"/>
    <w:embedRegular r:id="rId1" w:fontKey="{1A71872B-6F66-43E4-819E-DAEFE7B8E2C9}"/>
  </w:font>
  <w:font w:name="方正仿宋_GBK">
    <w:panose1 w:val="02000000000000000000"/>
    <w:charset w:val="86"/>
    <w:family w:val="auto"/>
    <w:pitch w:val="default"/>
    <w:sig w:usb0="00000001" w:usb1="080E0000" w:usb2="00000000" w:usb3="00000000" w:csb0="00040000" w:csb1="00000000"/>
    <w:embedRegular r:id="rId2" w:fontKey="{1B9A68D1-C58C-4234-BEAB-EE5FA69A7014}"/>
  </w:font>
  <w:font w:name="方正楷体_GBK">
    <w:panose1 w:val="02000000000000000000"/>
    <w:charset w:val="86"/>
    <w:family w:val="auto"/>
    <w:pitch w:val="default"/>
    <w:sig w:usb0="00000001" w:usb1="080E0000" w:usb2="00000000" w:usb3="00000000" w:csb0="00040000" w:csb1="00000000"/>
    <w:embedRegular r:id="rId3" w:fontKey="{0EDCC5F5-0388-45E5-9AB0-9A54FE90F952}"/>
  </w:font>
  <w:font w:name="方正黑体_GBK">
    <w:panose1 w:val="03000509000000000000"/>
    <w:charset w:val="86"/>
    <w:family w:val="auto"/>
    <w:pitch w:val="default"/>
    <w:sig w:usb0="00000001" w:usb1="080E0000" w:usb2="00000000" w:usb3="00000000" w:csb0="00040000" w:csb1="00000000"/>
    <w:embedRegular r:id="rId4" w:fontKey="{2E158E8D-AB1E-48F6-B570-D55AFD51B3FC}"/>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3DB87">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EF5939">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85</w:t>
                          </w:r>
                          <w:r>
                            <w:rPr>
                              <w:rFonts w:hint="eastAsia" w:ascii="方正仿宋_GBK" w:hAnsi="方正仿宋_GBK" w:eastAsia="方正仿宋_GBK" w:cs="方正仿宋_GBK"/>
                              <w:sz w:val="28"/>
                              <w:szCs w:val="2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0EF5939">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85</w:t>
                    </w:r>
                    <w:r>
                      <w:rPr>
                        <w:rFonts w:hint="eastAsia" w:ascii="方正仿宋_GBK" w:hAnsi="方正仿宋_GBK" w:eastAsia="方正仿宋_GBK" w:cs="方正仿宋_GBK"/>
                        <w:sz w:val="28"/>
                        <w:szCs w:val="28"/>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3D27B">
    <w:pPr>
      <w:spacing w:before="1" w:line="174" w:lineRule="auto"/>
      <w:ind w:left="7935"/>
      <w:rPr>
        <w:rFonts w:ascii="宋体" w:hAnsi="宋体" w:eastAsia="宋体" w:cs="宋体"/>
        <w:sz w:val="28"/>
        <w:szCs w:val="28"/>
      </w:rPr>
    </w:pPr>
    <w:r>
      <w:rPr>
        <w:sz w:val="2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5093F2">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4</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78</w:t>
                          </w:r>
                          <w:r>
                            <w:rPr>
                              <w:rFonts w:hint="eastAsia" w:ascii="方正仿宋_GBK" w:hAnsi="方正仿宋_GBK" w:eastAsia="方正仿宋_GBK" w:cs="方正仿宋_GBK"/>
                              <w:sz w:val="28"/>
                              <w:szCs w:val="2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95093F2">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4</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78</w:t>
                    </w:r>
                    <w:r>
                      <w:rPr>
                        <w:rFonts w:hint="eastAsia" w:ascii="方正仿宋_GBK" w:hAnsi="方正仿宋_GBK" w:eastAsia="方正仿宋_GBK" w:cs="方正仿宋_GBK"/>
                        <w:sz w:val="28"/>
                        <w:szCs w:val="28"/>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EDA86">
    <w:pPr>
      <w:pStyle w:val="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6597A6">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8</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85</w:t>
                          </w:r>
                          <w:r>
                            <w:rPr>
                              <w:rFonts w:hint="eastAsia" w:ascii="方正仿宋_GBK" w:hAnsi="方正仿宋_GBK" w:eastAsia="方正仿宋_GBK" w:cs="方正仿宋_GBK"/>
                              <w:sz w:val="28"/>
                              <w:szCs w:val="2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096597A6">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8</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85</w:t>
                    </w:r>
                    <w:r>
                      <w:rPr>
                        <w:rFonts w:hint="eastAsia" w:ascii="方正仿宋_GBK" w:hAnsi="方正仿宋_GBK" w:eastAsia="方正仿宋_GBK" w:cs="方正仿宋_GBK"/>
                        <w:sz w:val="28"/>
                        <w:szCs w:val="28"/>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F92EB">
    <w:pPr>
      <w:pStyle w:val="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482F2A">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78</w:t>
                          </w:r>
                          <w:r>
                            <w:rPr>
                              <w:rFonts w:hint="eastAsia" w:ascii="方正仿宋_GBK" w:hAnsi="方正仿宋_GBK" w:eastAsia="方正仿宋_GBK" w:cs="方正仿宋_GBK"/>
                              <w:sz w:val="28"/>
                              <w:szCs w:val="2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482F2A">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78</w:t>
                    </w:r>
                    <w:r>
                      <w:rPr>
                        <w:rFonts w:hint="eastAsia" w:ascii="方正仿宋_GBK" w:hAnsi="方正仿宋_GBK" w:eastAsia="方正仿宋_GBK" w:cs="方正仿宋_GBK"/>
                        <w:sz w:val="28"/>
                        <w:szCs w:val="28"/>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wYWQxMzYyYTY3MDllZTljMzU3NzZiNjU5NjJjOTEifQ=="/>
  </w:docVars>
  <w:rsids>
    <w:rsidRoot w:val="06921A00"/>
    <w:rsid w:val="00184918"/>
    <w:rsid w:val="005D1948"/>
    <w:rsid w:val="00784F9E"/>
    <w:rsid w:val="00920750"/>
    <w:rsid w:val="00B878F8"/>
    <w:rsid w:val="00D40D69"/>
    <w:rsid w:val="00EC00DA"/>
    <w:rsid w:val="012B64AF"/>
    <w:rsid w:val="017C6D0A"/>
    <w:rsid w:val="01A544B3"/>
    <w:rsid w:val="01AA6C2C"/>
    <w:rsid w:val="01AC5842"/>
    <w:rsid w:val="01B85F94"/>
    <w:rsid w:val="01FF7A76"/>
    <w:rsid w:val="021D12A8"/>
    <w:rsid w:val="02386CC9"/>
    <w:rsid w:val="02497534"/>
    <w:rsid w:val="024C70A6"/>
    <w:rsid w:val="025C7846"/>
    <w:rsid w:val="028B18FB"/>
    <w:rsid w:val="0293255D"/>
    <w:rsid w:val="02BC7D06"/>
    <w:rsid w:val="02C170CB"/>
    <w:rsid w:val="030F6088"/>
    <w:rsid w:val="03323B24"/>
    <w:rsid w:val="03333CE8"/>
    <w:rsid w:val="03675921"/>
    <w:rsid w:val="03707DF3"/>
    <w:rsid w:val="03800D34"/>
    <w:rsid w:val="038B15DA"/>
    <w:rsid w:val="03A32C74"/>
    <w:rsid w:val="03A34A22"/>
    <w:rsid w:val="03B22EB7"/>
    <w:rsid w:val="03D1158F"/>
    <w:rsid w:val="043B3CCE"/>
    <w:rsid w:val="04441D61"/>
    <w:rsid w:val="04895318"/>
    <w:rsid w:val="04C3537C"/>
    <w:rsid w:val="04D01847"/>
    <w:rsid w:val="04D05CEB"/>
    <w:rsid w:val="04D70E27"/>
    <w:rsid w:val="04DD5D12"/>
    <w:rsid w:val="05002D34"/>
    <w:rsid w:val="05453FE3"/>
    <w:rsid w:val="05542478"/>
    <w:rsid w:val="05681A7F"/>
    <w:rsid w:val="056B08F5"/>
    <w:rsid w:val="05A21ED9"/>
    <w:rsid w:val="05A90120"/>
    <w:rsid w:val="05BB6053"/>
    <w:rsid w:val="05BC239F"/>
    <w:rsid w:val="05BE5B43"/>
    <w:rsid w:val="05D90BCF"/>
    <w:rsid w:val="05E76E48"/>
    <w:rsid w:val="06921A00"/>
    <w:rsid w:val="06D57890"/>
    <w:rsid w:val="06FF4665"/>
    <w:rsid w:val="07350087"/>
    <w:rsid w:val="07937C68"/>
    <w:rsid w:val="08713341"/>
    <w:rsid w:val="08844E22"/>
    <w:rsid w:val="08A74FB5"/>
    <w:rsid w:val="09F93DAC"/>
    <w:rsid w:val="0A222B45"/>
    <w:rsid w:val="0A2A37A7"/>
    <w:rsid w:val="0A59408D"/>
    <w:rsid w:val="0A7D6664"/>
    <w:rsid w:val="0AA55524"/>
    <w:rsid w:val="0ABB08A3"/>
    <w:rsid w:val="0ACD4334"/>
    <w:rsid w:val="0AF81075"/>
    <w:rsid w:val="0B470389"/>
    <w:rsid w:val="0B8D66E4"/>
    <w:rsid w:val="0BED0E07"/>
    <w:rsid w:val="0C6A6306"/>
    <w:rsid w:val="0C6A75EB"/>
    <w:rsid w:val="0C882A07"/>
    <w:rsid w:val="0CC71781"/>
    <w:rsid w:val="0CD520F0"/>
    <w:rsid w:val="0CFB58CF"/>
    <w:rsid w:val="0D1241E1"/>
    <w:rsid w:val="0D363DFA"/>
    <w:rsid w:val="0D70006B"/>
    <w:rsid w:val="0DB37F58"/>
    <w:rsid w:val="0E2A36F8"/>
    <w:rsid w:val="0E3177FA"/>
    <w:rsid w:val="0E344BF5"/>
    <w:rsid w:val="0E4B63E2"/>
    <w:rsid w:val="0E747832"/>
    <w:rsid w:val="0E9E6512"/>
    <w:rsid w:val="0EDF57A3"/>
    <w:rsid w:val="0F01041E"/>
    <w:rsid w:val="0F182768"/>
    <w:rsid w:val="0F1E7653"/>
    <w:rsid w:val="0F391E8E"/>
    <w:rsid w:val="0F9D1F4A"/>
    <w:rsid w:val="0FBF2BE4"/>
    <w:rsid w:val="0FCB77DB"/>
    <w:rsid w:val="10327FA1"/>
    <w:rsid w:val="104F21BA"/>
    <w:rsid w:val="10554D6F"/>
    <w:rsid w:val="10944070"/>
    <w:rsid w:val="10F6011B"/>
    <w:rsid w:val="110D797F"/>
    <w:rsid w:val="113676AF"/>
    <w:rsid w:val="11851C0B"/>
    <w:rsid w:val="119F2CCD"/>
    <w:rsid w:val="11E42DD6"/>
    <w:rsid w:val="122B630F"/>
    <w:rsid w:val="122F4065"/>
    <w:rsid w:val="12577104"/>
    <w:rsid w:val="12767444"/>
    <w:rsid w:val="12EA2943"/>
    <w:rsid w:val="12F708E7"/>
    <w:rsid w:val="13143247"/>
    <w:rsid w:val="13255454"/>
    <w:rsid w:val="13541895"/>
    <w:rsid w:val="13651CF4"/>
    <w:rsid w:val="138555A0"/>
    <w:rsid w:val="138F28CD"/>
    <w:rsid w:val="13D749A0"/>
    <w:rsid w:val="14110323"/>
    <w:rsid w:val="14117786"/>
    <w:rsid w:val="141E5F01"/>
    <w:rsid w:val="14645E33"/>
    <w:rsid w:val="147372B6"/>
    <w:rsid w:val="14755F67"/>
    <w:rsid w:val="14802DF4"/>
    <w:rsid w:val="149A0F1C"/>
    <w:rsid w:val="15110B44"/>
    <w:rsid w:val="15137E4D"/>
    <w:rsid w:val="151C63E2"/>
    <w:rsid w:val="152754B3"/>
    <w:rsid w:val="15545B7C"/>
    <w:rsid w:val="155E641B"/>
    <w:rsid w:val="157B57FF"/>
    <w:rsid w:val="15AC7766"/>
    <w:rsid w:val="15B14D7D"/>
    <w:rsid w:val="15C727F2"/>
    <w:rsid w:val="15DD171F"/>
    <w:rsid w:val="160161FA"/>
    <w:rsid w:val="16070E41"/>
    <w:rsid w:val="161C2B3E"/>
    <w:rsid w:val="161D23BF"/>
    <w:rsid w:val="163A1216"/>
    <w:rsid w:val="169A7F07"/>
    <w:rsid w:val="16B5089D"/>
    <w:rsid w:val="171952CF"/>
    <w:rsid w:val="1744435A"/>
    <w:rsid w:val="17486E4C"/>
    <w:rsid w:val="17F35B20"/>
    <w:rsid w:val="185365BF"/>
    <w:rsid w:val="18627605"/>
    <w:rsid w:val="18890233"/>
    <w:rsid w:val="18AB01A9"/>
    <w:rsid w:val="18B52DD6"/>
    <w:rsid w:val="18D314AE"/>
    <w:rsid w:val="18EF22F7"/>
    <w:rsid w:val="18FE1560"/>
    <w:rsid w:val="19094ED0"/>
    <w:rsid w:val="192D5062"/>
    <w:rsid w:val="197776D2"/>
    <w:rsid w:val="19C92FDD"/>
    <w:rsid w:val="19DA0845"/>
    <w:rsid w:val="19F811CC"/>
    <w:rsid w:val="1A1864EC"/>
    <w:rsid w:val="1A7C004F"/>
    <w:rsid w:val="1A970ED2"/>
    <w:rsid w:val="1AAC7FEB"/>
    <w:rsid w:val="1AB64BE3"/>
    <w:rsid w:val="1B222279"/>
    <w:rsid w:val="1B666609"/>
    <w:rsid w:val="1B6F3710"/>
    <w:rsid w:val="1B866CAC"/>
    <w:rsid w:val="1C02188C"/>
    <w:rsid w:val="1C365FDC"/>
    <w:rsid w:val="1C8F7A67"/>
    <w:rsid w:val="1CA90EA4"/>
    <w:rsid w:val="1CB6163B"/>
    <w:rsid w:val="1CEE4B08"/>
    <w:rsid w:val="1CFD3ED7"/>
    <w:rsid w:val="1D0E621C"/>
    <w:rsid w:val="1D100F23"/>
    <w:rsid w:val="1D167BBB"/>
    <w:rsid w:val="1D3A5FA0"/>
    <w:rsid w:val="1D567413"/>
    <w:rsid w:val="1D6658A5"/>
    <w:rsid w:val="1E026ABD"/>
    <w:rsid w:val="1E672DC4"/>
    <w:rsid w:val="1E7A19C6"/>
    <w:rsid w:val="1E8C174D"/>
    <w:rsid w:val="1EBB0A1A"/>
    <w:rsid w:val="1ECF0A05"/>
    <w:rsid w:val="1F130856"/>
    <w:rsid w:val="1F3971E9"/>
    <w:rsid w:val="1F6003BA"/>
    <w:rsid w:val="1F7E6617"/>
    <w:rsid w:val="1F817EB6"/>
    <w:rsid w:val="1FB65DB1"/>
    <w:rsid w:val="1FF02946"/>
    <w:rsid w:val="2013399E"/>
    <w:rsid w:val="20656F4F"/>
    <w:rsid w:val="20832DF2"/>
    <w:rsid w:val="20D61B3B"/>
    <w:rsid w:val="20DA787E"/>
    <w:rsid w:val="210E39CB"/>
    <w:rsid w:val="2217240B"/>
    <w:rsid w:val="22B5383E"/>
    <w:rsid w:val="22C80038"/>
    <w:rsid w:val="22D20716"/>
    <w:rsid w:val="22D905E5"/>
    <w:rsid w:val="22DF561F"/>
    <w:rsid w:val="23431133"/>
    <w:rsid w:val="23515DF1"/>
    <w:rsid w:val="236478D2"/>
    <w:rsid w:val="237C4C1C"/>
    <w:rsid w:val="241D3757"/>
    <w:rsid w:val="243E0123"/>
    <w:rsid w:val="24594F5D"/>
    <w:rsid w:val="249E021C"/>
    <w:rsid w:val="250F7D12"/>
    <w:rsid w:val="251F7F55"/>
    <w:rsid w:val="25B61F3B"/>
    <w:rsid w:val="25D16D75"/>
    <w:rsid w:val="26105AEF"/>
    <w:rsid w:val="26192BF6"/>
    <w:rsid w:val="262E114E"/>
    <w:rsid w:val="263501BB"/>
    <w:rsid w:val="264237F9"/>
    <w:rsid w:val="264A1001"/>
    <w:rsid w:val="26A60202"/>
    <w:rsid w:val="26E56F7C"/>
    <w:rsid w:val="272F6449"/>
    <w:rsid w:val="273F48DE"/>
    <w:rsid w:val="275B723E"/>
    <w:rsid w:val="277A21E9"/>
    <w:rsid w:val="27804915"/>
    <w:rsid w:val="27D668C5"/>
    <w:rsid w:val="27E014F2"/>
    <w:rsid w:val="28013942"/>
    <w:rsid w:val="280D5A34"/>
    <w:rsid w:val="28180C8B"/>
    <w:rsid w:val="28305FD5"/>
    <w:rsid w:val="28780664"/>
    <w:rsid w:val="28B409B4"/>
    <w:rsid w:val="28BA7F95"/>
    <w:rsid w:val="28C01A4F"/>
    <w:rsid w:val="28F95BE3"/>
    <w:rsid w:val="2927387C"/>
    <w:rsid w:val="299B1B74"/>
    <w:rsid w:val="29A76E8D"/>
    <w:rsid w:val="29DF7CB3"/>
    <w:rsid w:val="29EE439A"/>
    <w:rsid w:val="2A2A223E"/>
    <w:rsid w:val="2A3D0E7D"/>
    <w:rsid w:val="2A6C52BE"/>
    <w:rsid w:val="2A737DE5"/>
    <w:rsid w:val="2A7523C5"/>
    <w:rsid w:val="2A7A5C2D"/>
    <w:rsid w:val="2A7F3244"/>
    <w:rsid w:val="2AA352F6"/>
    <w:rsid w:val="2AF77E4C"/>
    <w:rsid w:val="2AFC2AE6"/>
    <w:rsid w:val="2B930635"/>
    <w:rsid w:val="2BC2163A"/>
    <w:rsid w:val="2BE94E19"/>
    <w:rsid w:val="2C3818FC"/>
    <w:rsid w:val="2C6170A5"/>
    <w:rsid w:val="2C6B0E08"/>
    <w:rsid w:val="2C8F6197"/>
    <w:rsid w:val="2CA615DB"/>
    <w:rsid w:val="2D6D2063"/>
    <w:rsid w:val="2DC47D5B"/>
    <w:rsid w:val="2DD208E6"/>
    <w:rsid w:val="2E053A60"/>
    <w:rsid w:val="2E08381C"/>
    <w:rsid w:val="2E1343CF"/>
    <w:rsid w:val="2E2F34AA"/>
    <w:rsid w:val="2E693FEF"/>
    <w:rsid w:val="2EA94D33"/>
    <w:rsid w:val="2ECD6C74"/>
    <w:rsid w:val="2EED2E72"/>
    <w:rsid w:val="2FB120F1"/>
    <w:rsid w:val="2FB219C5"/>
    <w:rsid w:val="2FD35673"/>
    <w:rsid w:val="30405CA0"/>
    <w:rsid w:val="30647164"/>
    <w:rsid w:val="3091782D"/>
    <w:rsid w:val="30C561F0"/>
    <w:rsid w:val="31041AB2"/>
    <w:rsid w:val="314D7BF8"/>
    <w:rsid w:val="31985EF6"/>
    <w:rsid w:val="31A33CBC"/>
    <w:rsid w:val="31D245A1"/>
    <w:rsid w:val="31E22A36"/>
    <w:rsid w:val="322070BA"/>
    <w:rsid w:val="32290665"/>
    <w:rsid w:val="32292413"/>
    <w:rsid w:val="32676A97"/>
    <w:rsid w:val="32877139"/>
    <w:rsid w:val="32DB1E15"/>
    <w:rsid w:val="32E12CEE"/>
    <w:rsid w:val="32F02F31"/>
    <w:rsid w:val="33014DEF"/>
    <w:rsid w:val="33323549"/>
    <w:rsid w:val="334F1DB7"/>
    <w:rsid w:val="335133F7"/>
    <w:rsid w:val="33557238"/>
    <w:rsid w:val="33884F17"/>
    <w:rsid w:val="33B421B0"/>
    <w:rsid w:val="33CC574C"/>
    <w:rsid w:val="34012F1B"/>
    <w:rsid w:val="340B046E"/>
    <w:rsid w:val="341113B0"/>
    <w:rsid w:val="345614B9"/>
    <w:rsid w:val="34A46A92"/>
    <w:rsid w:val="34AE07E1"/>
    <w:rsid w:val="34D55B85"/>
    <w:rsid w:val="34E7302A"/>
    <w:rsid w:val="34F42AC0"/>
    <w:rsid w:val="34FF4FE4"/>
    <w:rsid w:val="35611EC4"/>
    <w:rsid w:val="356C015D"/>
    <w:rsid w:val="35E93C67"/>
    <w:rsid w:val="35FB2318"/>
    <w:rsid w:val="363E3FB3"/>
    <w:rsid w:val="36511F38"/>
    <w:rsid w:val="3659703F"/>
    <w:rsid w:val="36783969"/>
    <w:rsid w:val="36814164"/>
    <w:rsid w:val="370F76FD"/>
    <w:rsid w:val="372C6501"/>
    <w:rsid w:val="373C383C"/>
    <w:rsid w:val="375A12C0"/>
    <w:rsid w:val="377A101B"/>
    <w:rsid w:val="379E11AD"/>
    <w:rsid w:val="37AB066C"/>
    <w:rsid w:val="38222A28"/>
    <w:rsid w:val="38397128"/>
    <w:rsid w:val="384358B1"/>
    <w:rsid w:val="3857135C"/>
    <w:rsid w:val="38A722E3"/>
    <w:rsid w:val="392C0A3B"/>
    <w:rsid w:val="397F500E"/>
    <w:rsid w:val="3980268B"/>
    <w:rsid w:val="398B39B3"/>
    <w:rsid w:val="39B822CE"/>
    <w:rsid w:val="39E76710"/>
    <w:rsid w:val="39F71049"/>
    <w:rsid w:val="39FA31D8"/>
    <w:rsid w:val="3A296D28"/>
    <w:rsid w:val="3A3A5994"/>
    <w:rsid w:val="3A410516"/>
    <w:rsid w:val="3A903333"/>
    <w:rsid w:val="3AB75198"/>
    <w:rsid w:val="3AE50EA1"/>
    <w:rsid w:val="3AE570F3"/>
    <w:rsid w:val="3B1B0D67"/>
    <w:rsid w:val="3B722D63"/>
    <w:rsid w:val="3B7634B0"/>
    <w:rsid w:val="3B950B19"/>
    <w:rsid w:val="3BBB1B47"/>
    <w:rsid w:val="3BCA3066"/>
    <w:rsid w:val="3BFC64A2"/>
    <w:rsid w:val="3C023224"/>
    <w:rsid w:val="3C3011FE"/>
    <w:rsid w:val="3C687FDC"/>
    <w:rsid w:val="3C6D73A0"/>
    <w:rsid w:val="3C706E90"/>
    <w:rsid w:val="3CC571DC"/>
    <w:rsid w:val="3D3B2FFA"/>
    <w:rsid w:val="3D406863"/>
    <w:rsid w:val="3D586568"/>
    <w:rsid w:val="3D8B6100"/>
    <w:rsid w:val="3D904776"/>
    <w:rsid w:val="3D931088"/>
    <w:rsid w:val="3DD376D7"/>
    <w:rsid w:val="3DE302EE"/>
    <w:rsid w:val="3DF57746"/>
    <w:rsid w:val="3DFF227A"/>
    <w:rsid w:val="3E0D0E3B"/>
    <w:rsid w:val="3E4405D4"/>
    <w:rsid w:val="3E570308"/>
    <w:rsid w:val="3E5B7AE8"/>
    <w:rsid w:val="3E6D18D9"/>
    <w:rsid w:val="3E8B6203"/>
    <w:rsid w:val="3EA55690"/>
    <w:rsid w:val="3EF142B8"/>
    <w:rsid w:val="3F3423F7"/>
    <w:rsid w:val="3F620FE1"/>
    <w:rsid w:val="3FDA2F9E"/>
    <w:rsid w:val="3FEB40FC"/>
    <w:rsid w:val="3FFF0C57"/>
    <w:rsid w:val="403E406C"/>
    <w:rsid w:val="40442B0E"/>
    <w:rsid w:val="40542B45"/>
    <w:rsid w:val="407231D7"/>
    <w:rsid w:val="407F58F4"/>
    <w:rsid w:val="40BB2DD0"/>
    <w:rsid w:val="414D76D2"/>
    <w:rsid w:val="41735459"/>
    <w:rsid w:val="41860462"/>
    <w:rsid w:val="41D36847"/>
    <w:rsid w:val="41EC0D67"/>
    <w:rsid w:val="42004812"/>
    <w:rsid w:val="42114C71"/>
    <w:rsid w:val="42817701"/>
    <w:rsid w:val="42D77C69"/>
    <w:rsid w:val="42F97BDF"/>
    <w:rsid w:val="43100A85"/>
    <w:rsid w:val="432602A9"/>
    <w:rsid w:val="432C269E"/>
    <w:rsid w:val="434846C3"/>
    <w:rsid w:val="43B458B4"/>
    <w:rsid w:val="43C875B2"/>
    <w:rsid w:val="43F263DD"/>
    <w:rsid w:val="440157FC"/>
    <w:rsid w:val="445663F6"/>
    <w:rsid w:val="454113CA"/>
    <w:rsid w:val="462A2B21"/>
    <w:rsid w:val="46537496"/>
    <w:rsid w:val="46671304"/>
    <w:rsid w:val="4710374A"/>
    <w:rsid w:val="471A69C9"/>
    <w:rsid w:val="47347438"/>
    <w:rsid w:val="47680E90"/>
    <w:rsid w:val="478A7058"/>
    <w:rsid w:val="47C702AC"/>
    <w:rsid w:val="480A1F47"/>
    <w:rsid w:val="480C3F11"/>
    <w:rsid w:val="4839240D"/>
    <w:rsid w:val="48A57EC2"/>
    <w:rsid w:val="490270C2"/>
    <w:rsid w:val="49235BC9"/>
    <w:rsid w:val="492B6619"/>
    <w:rsid w:val="49880C8F"/>
    <w:rsid w:val="49E35145"/>
    <w:rsid w:val="4A080708"/>
    <w:rsid w:val="4A2512BA"/>
    <w:rsid w:val="4A437992"/>
    <w:rsid w:val="4A58343D"/>
    <w:rsid w:val="4A7463FF"/>
    <w:rsid w:val="4A7D10F6"/>
    <w:rsid w:val="4A8B6AF7"/>
    <w:rsid w:val="4A985F30"/>
    <w:rsid w:val="4A99106D"/>
    <w:rsid w:val="4AA91EEB"/>
    <w:rsid w:val="4AC46D25"/>
    <w:rsid w:val="4AD835A5"/>
    <w:rsid w:val="4AFC64BF"/>
    <w:rsid w:val="4AFD3FE5"/>
    <w:rsid w:val="4B1304D7"/>
    <w:rsid w:val="4B386DCB"/>
    <w:rsid w:val="4B5C0D0B"/>
    <w:rsid w:val="4B7D3F6F"/>
    <w:rsid w:val="4B8A7B2D"/>
    <w:rsid w:val="4BB74194"/>
    <w:rsid w:val="4BED4059"/>
    <w:rsid w:val="4BFC429C"/>
    <w:rsid w:val="4C075F6E"/>
    <w:rsid w:val="4C6205A3"/>
    <w:rsid w:val="4CB73A16"/>
    <w:rsid w:val="4CC451D3"/>
    <w:rsid w:val="4CE94821"/>
    <w:rsid w:val="4CEA0599"/>
    <w:rsid w:val="4D1A0E7E"/>
    <w:rsid w:val="4D371A30"/>
    <w:rsid w:val="4D6E11CA"/>
    <w:rsid w:val="4D754306"/>
    <w:rsid w:val="4D8F4F60"/>
    <w:rsid w:val="4D907392"/>
    <w:rsid w:val="4D97427D"/>
    <w:rsid w:val="4DD12E39"/>
    <w:rsid w:val="4E10402F"/>
    <w:rsid w:val="4E1B3100"/>
    <w:rsid w:val="4E8251DC"/>
    <w:rsid w:val="4ECC264C"/>
    <w:rsid w:val="4EEF5DE4"/>
    <w:rsid w:val="4F334CCE"/>
    <w:rsid w:val="4F602D94"/>
    <w:rsid w:val="4FCB2904"/>
    <w:rsid w:val="4FE21ACA"/>
    <w:rsid w:val="50210776"/>
    <w:rsid w:val="503D01FE"/>
    <w:rsid w:val="50F07369"/>
    <w:rsid w:val="50F73284"/>
    <w:rsid w:val="51422751"/>
    <w:rsid w:val="515E50B1"/>
    <w:rsid w:val="517A2B8B"/>
    <w:rsid w:val="518014CC"/>
    <w:rsid w:val="51A74CAA"/>
    <w:rsid w:val="521D4C9B"/>
    <w:rsid w:val="524F15CA"/>
    <w:rsid w:val="52535E56"/>
    <w:rsid w:val="52AB4326"/>
    <w:rsid w:val="52B14033"/>
    <w:rsid w:val="52C33D66"/>
    <w:rsid w:val="52F60C57"/>
    <w:rsid w:val="53004CE5"/>
    <w:rsid w:val="53A70F92"/>
    <w:rsid w:val="53A839AB"/>
    <w:rsid w:val="53D12B98"/>
    <w:rsid w:val="54576514"/>
    <w:rsid w:val="54AE468E"/>
    <w:rsid w:val="54BA6AA3"/>
    <w:rsid w:val="54D018A3"/>
    <w:rsid w:val="54D44008"/>
    <w:rsid w:val="54F6475D"/>
    <w:rsid w:val="54F93A6F"/>
    <w:rsid w:val="552918A6"/>
    <w:rsid w:val="5543118E"/>
    <w:rsid w:val="5553606B"/>
    <w:rsid w:val="556709D9"/>
    <w:rsid w:val="559D0757"/>
    <w:rsid w:val="55AD03B6"/>
    <w:rsid w:val="55AF412E"/>
    <w:rsid w:val="55B47996"/>
    <w:rsid w:val="55CA0F67"/>
    <w:rsid w:val="55D33BEB"/>
    <w:rsid w:val="55EC7130"/>
    <w:rsid w:val="560725EF"/>
    <w:rsid w:val="562624FE"/>
    <w:rsid w:val="562E14F6"/>
    <w:rsid w:val="56312D95"/>
    <w:rsid w:val="564B654C"/>
    <w:rsid w:val="566413BC"/>
    <w:rsid w:val="56701B0F"/>
    <w:rsid w:val="56757125"/>
    <w:rsid w:val="56772E9D"/>
    <w:rsid w:val="568850AA"/>
    <w:rsid w:val="5697495F"/>
    <w:rsid w:val="56D46542"/>
    <w:rsid w:val="570F0CE3"/>
    <w:rsid w:val="572F19CA"/>
    <w:rsid w:val="577B076B"/>
    <w:rsid w:val="57E207EA"/>
    <w:rsid w:val="57E97DCB"/>
    <w:rsid w:val="57FB4AB4"/>
    <w:rsid w:val="58214194"/>
    <w:rsid w:val="586456A3"/>
    <w:rsid w:val="587D0513"/>
    <w:rsid w:val="58C425E6"/>
    <w:rsid w:val="59050C34"/>
    <w:rsid w:val="591744C4"/>
    <w:rsid w:val="591964D4"/>
    <w:rsid w:val="591D1D79"/>
    <w:rsid w:val="597B4637"/>
    <w:rsid w:val="59D46859"/>
    <w:rsid w:val="59E24AD2"/>
    <w:rsid w:val="59FE5684"/>
    <w:rsid w:val="5ABF6998"/>
    <w:rsid w:val="5AC323F8"/>
    <w:rsid w:val="5B6232E6"/>
    <w:rsid w:val="5B7E72A8"/>
    <w:rsid w:val="5BD60666"/>
    <w:rsid w:val="5C013AA6"/>
    <w:rsid w:val="5C221AFD"/>
    <w:rsid w:val="5C270D2A"/>
    <w:rsid w:val="5C292E8C"/>
    <w:rsid w:val="5C757E7F"/>
    <w:rsid w:val="5C7F5DAA"/>
    <w:rsid w:val="5C9F1913"/>
    <w:rsid w:val="5CD64CC8"/>
    <w:rsid w:val="5CD70649"/>
    <w:rsid w:val="5CEE378D"/>
    <w:rsid w:val="5D221689"/>
    <w:rsid w:val="5D2C42B6"/>
    <w:rsid w:val="5D485594"/>
    <w:rsid w:val="5D9205BD"/>
    <w:rsid w:val="5DAF116F"/>
    <w:rsid w:val="5E007C1C"/>
    <w:rsid w:val="5E084D23"/>
    <w:rsid w:val="5E0A45F7"/>
    <w:rsid w:val="5E196F30"/>
    <w:rsid w:val="5E465A3C"/>
    <w:rsid w:val="5E6C4D48"/>
    <w:rsid w:val="5E84084D"/>
    <w:rsid w:val="5E8B1BDC"/>
    <w:rsid w:val="5EDF54D4"/>
    <w:rsid w:val="5F29029A"/>
    <w:rsid w:val="5F5521EA"/>
    <w:rsid w:val="5F673DDF"/>
    <w:rsid w:val="5F8B4823"/>
    <w:rsid w:val="5F9C5723"/>
    <w:rsid w:val="5FBE36D4"/>
    <w:rsid w:val="5FC90E90"/>
    <w:rsid w:val="5FD21144"/>
    <w:rsid w:val="5FFC08B7"/>
    <w:rsid w:val="60002155"/>
    <w:rsid w:val="60011A2A"/>
    <w:rsid w:val="6023728B"/>
    <w:rsid w:val="60793CB6"/>
    <w:rsid w:val="608F6263"/>
    <w:rsid w:val="60A03D48"/>
    <w:rsid w:val="60C43183"/>
    <w:rsid w:val="60C767CF"/>
    <w:rsid w:val="60D1764E"/>
    <w:rsid w:val="60DE40AC"/>
    <w:rsid w:val="611F485D"/>
    <w:rsid w:val="61333E65"/>
    <w:rsid w:val="6162299C"/>
    <w:rsid w:val="616965E7"/>
    <w:rsid w:val="619A3EE4"/>
    <w:rsid w:val="620A1069"/>
    <w:rsid w:val="62206ADF"/>
    <w:rsid w:val="625B3673"/>
    <w:rsid w:val="62744735"/>
    <w:rsid w:val="6299063F"/>
    <w:rsid w:val="629E5F73"/>
    <w:rsid w:val="62AD7C47"/>
    <w:rsid w:val="62B15989"/>
    <w:rsid w:val="62D71CE3"/>
    <w:rsid w:val="6324615B"/>
    <w:rsid w:val="63534C92"/>
    <w:rsid w:val="63AD6150"/>
    <w:rsid w:val="63D77671"/>
    <w:rsid w:val="64124205"/>
    <w:rsid w:val="64153CF6"/>
    <w:rsid w:val="644C6AC6"/>
    <w:rsid w:val="64964E36"/>
    <w:rsid w:val="649966D5"/>
    <w:rsid w:val="65240694"/>
    <w:rsid w:val="65322E75"/>
    <w:rsid w:val="653B06DA"/>
    <w:rsid w:val="65635B7F"/>
    <w:rsid w:val="65CE23AE"/>
    <w:rsid w:val="65E7353C"/>
    <w:rsid w:val="65EE0CA2"/>
    <w:rsid w:val="66187ACD"/>
    <w:rsid w:val="664803B2"/>
    <w:rsid w:val="66560E2C"/>
    <w:rsid w:val="665A1E94"/>
    <w:rsid w:val="665E6A55"/>
    <w:rsid w:val="671D192D"/>
    <w:rsid w:val="672B5F9E"/>
    <w:rsid w:val="676424F3"/>
    <w:rsid w:val="679F2254"/>
    <w:rsid w:val="67A94E81"/>
    <w:rsid w:val="67B20DE5"/>
    <w:rsid w:val="67F02AB0"/>
    <w:rsid w:val="67F43487"/>
    <w:rsid w:val="68727968"/>
    <w:rsid w:val="6897117D"/>
    <w:rsid w:val="68E5638C"/>
    <w:rsid w:val="69134737"/>
    <w:rsid w:val="69276EF5"/>
    <w:rsid w:val="696C2247"/>
    <w:rsid w:val="697678E2"/>
    <w:rsid w:val="697828F1"/>
    <w:rsid w:val="69913B4E"/>
    <w:rsid w:val="69A521C6"/>
    <w:rsid w:val="69AF0EE7"/>
    <w:rsid w:val="69CA10DE"/>
    <w:rsid w:val="69F908B3"/>
    <w:rsid w:val="6A154A4F"/>
    <w:rsid w:val="6A4E644F"/>
    <w:rsid w:val="6A7A0BC7"/>
    <w:rsid w:val="6A8C6C0F"/>
    <w:rsid w:val="6A914417"/>
    <w:rsid w:val="6A9761C4"/>
    <w:rsid w:val="6AAF6C52"/>
    <w:rsid w:val="6AF64881"/>
    <w:rsid w:val="6B1E5B86"/>
    <w:rsid w:val="6B45401D"/>
    <w:rsid w:val="6B6E0B0B"/>
    <w:rsid w:val="6BDF5315"/>
    <w:rsid w:val="6BFD1C3F"/>
    <w:rsid w:val="6C0A7EB8"/>
    <w:rsid w:val="6C192A19"/>
    <w:rsid w:val="6C77379F"/>
    <w:rsid w:val="6CE77179"/>
    <w:rsid w:val="6D050DAB"/>
    <w:rsid w:val="6D4416E3"/>
    <w:rsid w:val="6D65184A"/>
    <w:rsid w:val="6D946D06"/>
    <w:rsid w:val="6D981E62"/>
    <w:rsid w:val="6E625D89"/>
    <w:rsid w:val="6E7B622F"/>
    <w:rsid w:val="6ED749C9"/>
    <w:rsid w:val="6F05512C"/>
    <w:rsid w:val="6F2B4810"/>
    <w:rsid w:val="6F810491"/>
    <w:rsid w:val="70700C31"/>
    <w:rsid w:val="707430CF"/>
    <w:rsid w:val="707A0720"/>
    <w:rsid w:val="70CE3BAA"/>
    <w:rsid w:val="70D74E12"/>
    <w:rsid w:val="70D91714"/>
    <w:rsid w:val="7101188A"/>
    <w:rsid w:val="71033854"/>
    <w:rsid w:val="713C4FB8"/>
    <w:rsid w:val="713E4BAC"/>
    <w:rsid w:val="71436346"/>
    <w:rsid w:val="714A76D4"/>
    <w:rsid w:val="71A072F4"/>
    <w:rsid w:val="71BC3A02"/>
    <w:rsid w:val="71DE7E1D"/>
    <w:rsid w:val="71ED1FFD"/>
    <w:rsid w:val="71F71048"/>
    <w:rsid w:val="71F72C8D"/>
    <w:rsid w:val="722C6DDA"/>
    <w:rsid w:val="727A4DEE"/>
    <w:rsid w:val="727A7B45"/>
    <w:rsid w:val="72966949"/>
    <w:rsid w:val="72DC13CD"/>
    <w:rsid w:val="72FD2525"/>
    <w:rsid w:val="73691968"/>
    <w:rsid w:val="73877A65"/>
    <w:rsid w:val="73A40BF2"/>
    <w:rsid w:val="73C117A4"/>
    <w:rsid w:val="73D61F49"/>
    <w:rsid w:val="73DA4614"/>
    <w:rsid w:val="73ED4347"/>
    <w:rsid w:val="7460720F"/>
    <w:rsid w:val="748527D2"/>
    <w:rsid w:val="749D1525"/>
    <w:rsid w:val="74A437D7"/>
    <w:rsid w:val="74AF5AA0"/>
    <w:rsid w:val="74B63523"/>
    <w:rsid w:val="74E03EAC"/>
    <w:rsid w:val="74EC4785"/>
    <w:rsid w:val="750E0A19"/>
    <w:rsid w:val="7524023C"/>
    <w:rsid w:val="75931202"/>
    <w:rsid w:val="768C425C"/>
    <w:rsid w:val="76C361D8"/>
    <w:rsid w:val="76CD220E"/>
    <w:rsid w:val="76ED6B83"/>
    <w:rsid w:val="77212C85"/>
    <w:rsid w:val="773D55E5"/>
    <w:rsid w:val="776B2153"/>
    <w:rsid w:val="776C4EAA"/>
    <w:rsid w:val="77976AA4"/>
    <w:rsid w:val="77980A6E"/>
    <w:rsid w:val="77A318EC"/>
    <w:rsid w:val="77E3618D"/>
    <w:rsid w:val="781466A2"/>
    <w:rsid w:val="783C3374"/>
    <w:rsid w:val="797B2F0E"/>
    <w:rsid w:val="79CE69C9"/>
    <w:rsid w:val="79E87A8A"/>
    <w:rsid w:val="7A124B07"/>
    <w:rsid w:val="7A3623FD"/>
    <w:rsid w:val="7AAA3893"/>
    <w:rsid w:val="7ABC4A73"/>
    <w:rsid w:val="7AD46261"/>
    <w:rsid w:val="7AD93877"/>
    <w:rsid w:val="7AE5221C"/>
    <w:rsid w:val="7AE710CF"/>
    <w:rsid w:val="7B1228E5"/>
    <w:rsid w:val="7B28624F"/>
    <w:rsid w:val="7B4E7DC1"/>
    <w:rsid w:val="7B706970"/>
    <w:rsid w:val="7BD61513"/>
    <w:rsid w:val="7BF72207"/>
    <w:rsid w:val="7C0972AA"/>
    <w:rsid w:val="7C6D24C9"/>
    <w:rsid w:val="7CE704CD"/>
    <w:rsid w:val="7D034BDB"/>
    <w:rsid w:val="7D40591C"/>
    <w:rsid w:val="7D462FD3"/>
    <w:rsid w:val="7D7E2243"/>
    <w:rsid w:val="7D9B3852"/>
    <w:rsid w:val="7DAA5057"/>
    <w:rsid w:val="7DAC0092"/>
    <w:rsid w:val="7DB14637"/>
    <w:rsid w:val="7DBB7264"/>
    <w:rsid w:val="7DC425BD"/>
    <w:rsid w:val="7DDC1500"/>
    <w:rsid w:val="7DE802A3"/>
    <w:rsid w:val="7E1F5A45"/>
    <w:rsid w:val="7E3E30CD"/>
    <w:rsid w:val="7E611BB9"/>
    <w:rsid w:val="7E6B59F3"/>
    <w:rsid w:val="7E6F61AB"/>
    <w:rsid w:val="7E977CD1"/>
    <w:rsid w:val="7EC16AFC"/>
    <w:rsid w:val="7EDE54B9"/>
    <w:rsid w:val="7F2C0419"/>
    <w:rsid w:val="7F4339B5"/>
    <w:rsid w:val="7FC724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9">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3">
    <w:name w:val="Body Text"/>
    <w:basedOn w:val="1"/>
    <w:autoRedefine/>
    <w:semiHidden/>
    <w:qFormat/>
    <w:uiPriority w:val="0"/>
    <w:rPr>
      <w:rFonts w:ascii="Arial" w:hAnsi="Arial" w:eastAsia="Arial" w:cs="Arial"/>
      <w:sz w:val="21"/>
      <w:szCs w:val="21"/>
      <w:lang w:val="en-US" w:eastAsia="en-US" w:bidi="ar-SA"/>
    </w:rPr>
  </w:style>
  <w:style w:type="paragraph" w:styleId="4">
    <w:name w:val="footer"/>
    <w:basedOn w:val="1"/>
    <w:autoRedefine/>
    <w:semiHidden/>
    <w:unhideWhenUsed/>
    <w:qFormat/>
    <w:uiPriority w:val="99"/>
    <w:pPr>
      <w:tabs>
        <w:tab w:val="center" w:pos="4153"/>
        <w:tab w:val="right" w:pos="8306"/>
      </w:tabs>
      <w:snapToGrid w:val="0"/>
      <w:jc w:val="left"/>
    </w:pPr>
    <w:rPr>
      <w:sz w:val="18"/>
    </w:rPr>
  </w:style>
  <w:style w:type="paragraph" w:styleId="5">
    <w:name w:val="header"/>
    <w:basedOn w:val="1"/>
    <w:autoRedefine/>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autoRedefine/>
    <w:semiHidden/>
    <w:unhideWhenUsed/>
    <w:qFormat/>
    <w:uiPriority w:val="39"/>
  </w:style>
  <w:style w:type="paragraph" w:styleId="7">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character" w:styleId="10">
    <w:name w:val="Strong"/>
    <w:basedOn w:val="9"/>
    <w:autoRedefine/>
    <w:qFormat/>
    <w:uiPriority w:val="22"/>
    <w:rPr>
      <w:b/>
    </w:rPr>
  </w:style>
  <w:style w:type="character" w:styleId="11">
    <w:name w:val="FollowedHyperlink"/>
    <w:basedOn w:val="9"/>
    <w:autoRedefine/>
    <w:semiHidden/>
    <w:unhideWhenUsed/>
    <w:qFormat/>
    <w:uiPriority w:val="99"/>
    <w:rPr>
      <w:color w:val="800080"/>
      <w:u w:val="single"/>
    </w:rPr>
  </w:style>
  <w:style w:type="character" w:styleId="12">
    <w:name w:val="Hyperlink"/>
    <w:basedOn w:val="9"/>
    <w:autoRedefine/>
    <w:semiHidden/>
    <w:unhideWhenUsed/>
    <w:qFormat/>
    <w:uiPriority w:val="99"/>
    <w:rPr>
      <w:color w:val="0000FF"/>
      <w:u w:val="single"/>
    </w:rPr>
  </w:style>
  <w:style w:type="paragraph" w:customStyle="1" w:styleId="13">
    <w:name w:val="分类号"/>
    <w:basedOn w:val="1"/>
    <w:autoRedefine/>
    <w:qFormat/>
    <w:uiPriority w:val="0"/>
    <w:rPr>
      <w:rFonts w:ascii="仿宋_GB2312" w:hAnsi="Times New Roman" w:eastAsia="仿宋_GB2312" w:cs="Times New Roman"/>
      <w:sz w:val="28"/>
      <w:szCs w:val="28"/>
    </w:rPr>
  </w:style>
  <w:style w:type="paragraph" w:customStyle="1" w:styleId="14">
    <w:name w:val="封面日期"/>
    <w:basedOn w:val="1"/>
    <w:autoRedefine/>
    <w:qFormat/>
    <w:uiPriority w:val="0"/>
    <w:pPr>
      <w:jc w:val="center"/>
    </w:pPr>
    <w:rPr>
      <w:rFonts w:ascii="黑体" w:hAnsi="Times New Roman" w:eastAsia="黑体" w:cs="Times New Roman"/>
      <w:sz w:val="32"/>
      <w:szCs w:val="32"/>
    </w:rPr>
  </w:style>
  <w:style w:type="paragraph" w:customStyle="1" w:styleId="15">
    <w:name w:val="论文标题"/>
    <w:basedOn w:val="1"/>
    <w:autoRedefine/>
    <w:qFormat/>
    <w:uiPriority w:val="0"/>
    <w:pPr>
      <w:jc w:val="center"/>
    </w:pPr>
    <w:rPr>
      <w:rFonts w:ascii="Times New Roman" w:hAnsi="Times New Roman" w:eastAsia="楷体_GB2312" w:cs="Times New Roman"/>
      <w:b/>
      <w:kern w:val="36"/>
      <w:sz w:val="52"/>
      <w:szCs w:val="52"/>
    </w:rPr>
  </w:style>
  <w:style w:type="paragraph" w:customStyle="1" w:styleId="16">
    <w:name w:val="硕士学位论文"/>
    <w:basedOn w:val="1"/>
    <w:autoRedefine/>
    <w:qFormat/>
    <w:uiPriority w:val="0"/>
    <w:pPr>
      <w:spacing w:before="240"/>
      <w:jc w:val="center"/>
    </w:pPr>
    <w:rPr>
      <w:rFonts w:ascii="Times New Roman" w:hAnsi="Times New Roman" w:eastAsia="宋体" w:cs="Times New Roman"/>
      <w:sz w:val="44"/>
      <w:szCs w:val="44"/>
    </w:rPr>
  </w:style>
  <w:style w:type="paragraph" w:customStyle="1" w:styleId="17">
    <w:name w:val="研究生姓名"/>
    <w:basedOn w:val="1"/>
    <w:autoRedefine/>
    <w:qFormat/>
    <w:uiPriority w:val="0"/>
    <w:pPr>
      <w:ind w:firstLine="700" w:firstLineChars="700"/>
    </w:pPr>
    <w:rPr>
      <w:rFonts w:ascii="Times New Roman" w:hAnsi="Times New Roman" w:eastAsia="宋体" w:cs="Times New Roman"/>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1"/>
      <sectRole val="1"/>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47472</Words>
  <Characters>47706</Characters>
  <Lines>1</Lines>
  <Paragraphs>1</Paragraphs>
  <TotalTime>11</TotalTime>
  <ScaleCrop>false</ScaleCrop>
  <LinksUpToDate>false</LinksUpToDate>
  <CharactersWithSpaces>47794</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guodan1592</cp:lastModifiedBy>
  <cp:lastPrinted>2024-02-28T07:20:00Z</cp:lastPrinted>
  <dcterms:modified xsi:type="dcterms:W3CDTF">2024-08-20T07:03:37Z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BE0C035D794D4A3CB6EE3642A141FFCE_13</vt:lpwstr>
  </property>
</Properties>
</file>