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A92EE5">
      <w:pPr>
        <w:keepNext w:val="0"/>
        <w:keepLines w:val="0"/>
        <w:pageBreakBefore w:val="0"/>
        <w:widowControl w:val="0"/>
        <w:kinsoku/>
        <w:wordWrap/>
        <w:overflowPunct/>
        <w:topLinePunct w:val="0"/>
        <w:autoSpaceDE/>
        <w:autoSpaceDN/>
        <w:bidi w:val="0"/>
        <w:adjustRightInd w:val="0"/>
        <w:snapToGrid w:val="0"/>
        <w:spacing w:line="560" w:lineRule="exact"/>
        <w:ind w:left="0" w:right="0"/>
        <w:textAlignment w:val="auto"/>
        <w:outlineLvl w:val="9"/>
        <w:rPr>
          <w:rFonts w:hint="eastAsia" w:ascii="方正仿宋_GBK" w:hAnsi="方正仿宋_GBK" w:eastAsia="方正仿宋_GBK" w:cs="方正仿宋_GBK"/>
          <w:color w:val="auto"/>
          <w:sz w:val="32"/>
          <w:szCs w:val="32"/>
          <w:lang w:val="en-US" w:eastAsia="zh-CN"/>
        </w:rPr>
        <w:sectPr>
          <w:pgSz w:w="11906" w:h="16838"/>
          <w:pgMar w:top="1440" w:right="1800" w:bottom="1440" w:left="1800" w:header="851" w:footer="992" w:gutter="0"/>
          <w:pgNumType w:fmt="numberInDash"/>
          <w:cols w:space="425" w:num="1"/>
          <w:docGrid w:type="lines" w:linePitch="312" w:charSpace="0"/>
        </w:sectPr>
      </w:pPr>
      <w:r>
        <w:rPr>
          <w:rFonts w:hint="eastAsia" w:ascii="方正仿宋_GBK" w:hAnsi="方正仿宋_GBK" w:eastAsia="方正仿宋_GBK" w:cs="方正仿宋_GBK"/>
          <w:color w:val="auto"/>
          <w:sz w:val="32"/>
          <w:szCs w:val="32"/>
        </w:rPr>
        <mc:AlternateContent>
          <mc:Choice Requires="wps">
            <w:drawing>
              <wp:anchor distT="0" distB="0" distL="114300" distR="114300" simplePos="0" relativeHeight="251663360" behindDoc="0" locked="0" layoutInCell="1" allowOverlap="1">
                <wp:simplePos x="0" y="0"/>
                <wp:positionH relativeFrom="column">
                  <wp:posOffset>2012315</wp:posOffset>
                </wp:positionH>
                <wp:positionV relativeFrom="paragraph">
                  <wp:posOffset>6719570</wp:posOffset>
                </wp:positionV>
                <wp:extent cx="1582420" cy="47752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582420" cy="4775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319590">
                            <w:pPr>
                              <w:jc w:val="distribute"/>
                              <w:rPr>
                                <w:rFonts w:hint="eastAsia" w:ascii="方正仿宋_GBK" w:hAnsi="方正仿宋_GBK" w:eastAsia="方正仿宋_GBK" w:cs="方正仿宋_GBK"/>
                                <w:color w:val="C00000"/>
                                <w:sz w:val="32"/>
                                <w:szCs w:val="32"/>
                                <w:lang w:val="en-US" w:eastAsia="zh-CN"/>
                              </w:rPr>
                            </w:pPr>
                            <w:r>
                              <w:rPr>
                                <w:rFonts w:hint="eastAsia" w:ascii="方正仿宋_GBK" w:hAnsi="方正仿宋_GBK" w:eastAsia="方正仿宋_GBK" w:cs="方正仿宋_GBK"/>
                                <w:color w:val="C00000"/>
                                <w:sz w:val="32"/>
                                <w:szCs w:val="32"/>
                                <w:lang w:val="en-US" w:eastAsia="zh-CN"/>
                              </w:rPr>
                              <w:t>2025年3月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8.45pt;margin-top:529.1pt;height:37.6pt;width:124.6pt;z-index:251663360;mso-width-relative:page;mso-height-relative:page;" filled="f" stroked="f" coordsize="21600,21600" o:gfxdata="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CNHsM/dAAAADQEAAA8AAAAAAAAAAQAgAAAAIgAA&#10;AGRycy9kb3ducmV2LnhtbFBLAQIUABQAAAAIAIdO4kBWx2X1PAIAAGgEAAAOAAAAAAAAAAEAIAAA&#10;ACwBAABkcnMvZTJvRG9jLnhtbFBLBQYAAAAABgAGAFkBAADaBQAAAAA=&#10;">
                <v:fill on="f" focussize="0,0"/>
                <v:stroke on="f" weight="0.5pt"/>
                <v:imagedata o:title=""/>
                <o:lock v:ext="edit" aspectratio="f"/>
                <v:textbox>
                  <w:txbxContent>
                    <w:p w14:paraId="72319590">
                      <w:pPr>
                        <w:jc w:val="distribute"/>
                        <w:rPr>
                          <w:rFonts w:hint="eastAsia" w:ascii="方正仿宋_GBK" w:hAnsi="方正仿宋_GBK" w:eastAsia="方正仿宋_GBK" w:cs="方正仿宋_GBK"/>
                          <w:color w:val="C00000"/>
                          <w:sz w:val="32"/>
                          <w:szCs w:val="32"/>
                          <w:lang w:val="en-US" w:eastAsia="zh-CN"/>
                        </w:rPr>
                      </w:pPr>
                      <w:r>
                        <w:rPr>
                          <w:rFonts w:hint="eastAsia" w:ascii="方正仿宋_GBK" w:hAnsi="方正仿宋_GBK" w:eastAsia="方正仿宋_GBK" w:cs="方正仿宋_GBK"/>
                          <w:color w:val="C00000"/>
                          <w:sz w:val="32"/>
                          <w:szCs w:val="32"/>
                          <w:lang w:val="en-US" w:eastAsia="zh-CN"/>
                        </w:rPr>
                        <w:t>2025年3月</w:t>
                      </w:r>
                    </w:p>
                  </w:txbxContent>
                </v:textbox>
              </v:shape>
            </w:pict>
          </mc:Fallback>
        </mc:AlternateContent>
      </w:r>
      <w:r>
        <w:rPr>
          <w:rFonts w:hint="eastAsia" w:ascii="方正仿宋_GBK" w:hAnsi="方正仿宋_GBK" w:eastAsia="方正仿宋_GBK" w:cs="方正仿宋_GBK"/>
          <w:color w:val="auto"/>
          <w:sz w:val="32"/>
          <w:szCs w:val="32"/>
        </w:rPr>
        <mc:AlternateContent>
          <mc:Choice Requires="wps">
            <w:drawing>
              <wp:anchor distT="0" distB="0" distL="114300" distR="114300" simplePos="0" relativeHeight="251662336" behindDoc="0" locked="0" layoutInCell="1" allowOverlap="1">
                <wp:simplePos x="0" y="0"/>
                <wp:positionH relativeFrom="column">
                  <wp:posOffset>604520</wp:posOffset>
                </wp:positionH>
                <wp:positionV relativeFrom="paragraph">
                  <wp:posOffset>6093460</wp:posOffset>
                </wp:positionV>
                <wp:extent cx="4364355" cy="678815"/>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4364355" cy="6788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0C4CBF">
                            <w:pPr>
                              <w:jc w:val="distribute"/>
                              <w:rPr>
                                <w:rFonts w:hint="eastAsia" w:ascii="方正仿宋_GBK" w:hAnsi="方正仿宋_GBK" w:eastAsia="方正仿宋_GBK" w:cs="方正仿宋_GBK"/>
                                <w:color w:val="C00000"/>
                                <w:sz w:val="40"/>
                                <w:szCs w:val="48"/>
                                <w:lang w:val="en-US" w:eastAsia="zh-CN"/>
                              </w:rPr>
                            </w:pPr>
                            <w:r>
                              <w:rPr>
                                <w:rFonts w:hint="eastAsia" w:ascii="方正仿宋_GBK" w:hAnsi="方正仿宋_GBK" w:eastAsia="方正仿宋_GBK" w:cs="方正仿宋_GBK"/>
                                <w:color w:val="C00000"/>
                                <w:sz w:val="40"/>
                                <w:szCs w:val="48"/>
                                <w:lang w:val="en-US" w:eastAsia="zh-CN"/>
                              </w:rPr>
                              <w:t>重庆幼儿师专党委组织宣传部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7.6pt;margin-top:479.8pt;height:53.45pt;width:343.65pt;z-index:251662336;mso-width-relative:page;mso-height-relative:page;" filled="f" stroked="f" coordsize="21600,21600" o:gfxdata="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Lu2Yq9sAAAALAQAADwAAAAAAAAABACAAAAAiAAAA&#10;ZHJzL2Rvd25yZXYueG1sUEsBAhQAFAAAAAgAh07iQON+WHQ9AgAAaAQAAA4AAAAAAAAAAQAgAAAA&#10;KgEAAGRycy9lMm9Eb2MueG1sUEsFBgAAAAAGAAYAWQEAANkFAAAAAA==&#10;">
                <v:fill on="f" focussize="0,0"/>
                <v:stroke on="f" weight="0.5pt"/>
                <v:imagedata o:title=""/>
                <o:lock v:ext="edit" aspectratio="f"/>
                <v:textbox>
                  <w:txbxContent>
                    <w:p w14:paraId="3D0C4CBF">
                      <w:pPr>
                        <w:jc w:val="distribute"/>
                        <w:rPr>
                          <w:rFonts w:hint="eastAsia" w:ascii="方正仿宋_GBK" w:hAnsi="方正仿宋_GBK" w:eastAsia="方正仿宋_GBK" w:cs="方正仿宋_GBK"/>
                          <w:color w:val="C00000"/>
                          <w:sz w:val="40"/>
                          <w:szCs w:val="48"/>
                          <w:lang w:val="en-US" w:eastAsia="zh-CN"/>
                        </w:rPr>
                      </w:pPr>
                      <w:r>
                        <w:rPr>
                          <w:rFonts w:hint="eastAsia" w:ascii="方正仿宋_GBK" w:hAnsi="方正仿宋_GBK" w:eastAsia="方正仿宋_GBK" w:cs="方正仿宋_GBK"/>
                          <w:color w:val="C00000"/>
                          <w:sz w:val="40"/>
                          <w:szCs w:val="48"/>
                          <w:lang w:val="en-US" w:eastAsia="zh-CN"/>
                        </w:rPr>
                        <w:t>重庆幼儿师专党委组织宣传部</w:t>
                      </w:r>
                    </w:p>
                  </w:txbxContent>
                </v:textbox>
              </v:shape>
            </w:pict>
          </mc:Fallback>
        </mc:AlternateContent>
      </w:r>
      <w:r>
        <w:rPr>
          <w:rFonts w:hint="eastAsia" w:ascii="方正仿宋_GBK" w:hAnsi="方正仿宋_GBK" w:eastAsia="方正仿宋_GBK" w:cs="方正仿宋_GBK"/>
          <w:color w:val="auto"/>
          <w:sz w:val="32"/>
          <w:szCs w:val="32"/>
        </w:rPr>
        <w:drawing>
          <wp:anchor distT="0" distB="0" distL="114300" distR="114300" simplePos="0" relativeHeight="251661312" behindDoc="0" locked="0" layoutInCell="1" allowOverlap="1">
            <wp:simplePos x="0" y="0"/>
            <wp:positionH relativeFrom="column">
              <wp:posOffset>-1164590</wp:posOffset>
            </wp:positionH>
            <wp:positionV relativeFrom="paragraph">
              <wp:posOffset>-935355</wp:posOffset>
            </wp:positionV>
            <wp:extent cx="7606665" cy="10781030"/>
            <wp:effectExtent l="0" t="0" r="13335" b="8890"/>
            <wp:wrapNone/>
            <wp:docPr id="32" name="图片 32"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222"/>
                    <pic:cNvPicPr>
                      <a:picLocks noChangeAspect="1"/>
                    </pic:cNvPicPr>
                  </pic:nvPicPr>
                  <pic:blipFill>
                    <a:blip r:embed="rId9"/>
                    <a:stretch>
                      <a:fillRect/>
                    </a:stretch>
                  </pic:blipFill>
                  <pic:spPr>
                    <a:xfrm>
                      <a:off x="0" y="0"/>
                      <a:ext cx="7606665" cy="10781030"/>
                    </a:xfrm>
                    <a:prstGeom prst="rect">
                      <a:avLst/>
                    </a:prstGeom>
                  </pic:spPr>
                </pic:pic>
              </a:graphicData>
            </a:graphic>
          </wp:anchor>
        </w:drawing>
      </w:r>
    </w:p>
    <w:p w14:paraId="74F1951C">
      <w:pPr>
        <w:pStyle w:val="7"/>
        <w:keepNext w:val="0"/>
        <w:keepLines w:val="0"/>
        <w:pageBreakBefore w:val="0"/>
        <w:widowControl w:val="0"/>
        <w:tabs>
          <w:tab w:val="right" w:leader="dot" w:pos="8306"/>
        </w:tabs>
        <w:kinsoku/>
        <w:wordWrap/>
        <w:overflowPunct/>
        <w:topLinePunct w:val="0"/>
        <w:autoSpaceDE/>
        <w:autoSpaceDN/>
        <w:bidi w:val="0"/>
        <w:adjustRightInd w:val="0"/>
        <w:snapToGrid w:val="0"/>
        <w:spacing w:line="560" w:lineRule="exact"/>
        <w:jc w:val="center"/>
        <w:textAlignment w:val="auto"/>
        <w:outlineLvl w:val="9"/>
        <w:rPr>
          <w:rFonts w:hint="eastAsia" w:ascii="方正黑体_GBK" w:hAnsi="方正黑体_GBK" w:eastAsia="方正黑体_GBK" w:cs="方正黑体_GBK"/>
          <w:color w:val="auto"/>
          <w:sz w:val="40"/>
          <w:szCs w:val="40"/>
          <w:lang w:val="en-US" w:eastAsia="zh-CN"/>
        </w:rPr>
      </w:pPr>
      <w:r>
        <w:rPr>
          <w:rFonts w:hint="eastAsia" w:ascii="方正黑体_GBK" w:hAnsi="方正黑体_GBK" w:eastAsia="方正黑体_GBK" w:cs="方正黑体_GBK"/>
          <w:color w:val="auto"/>
          <w:sz w:val="40"/>
          <w:szCs w:val="40"/>
          <w:lang w:val="en-US" w:eastAsia="zh-CN"/>
        </w:rPr>
        <w:t>目  录</w:t>
      </w:r>
    </w:p>
    <w:sdt>
      <w:sdtPr>
        <w:rPr>
          <w:rFonts w:hint="eastAsia" w:ascii="方正黑体_GBK" w:hAnsi="方正黑体_GBK" w:eastAsia="方正黑体_GBK" w:cs="方正黑体_GBK"/>
          <w:i w:val="0"/>
          <w:iCs w:val="0"/>
          <w:caps w:val="0"/>
          <w:color w:val="auto"/>
          <w:spacing w:val="0"/>
          <w:sz w:val="28"/>
          <w:szCs w:val="28"/>
          <w:shd w:val="clear" w:fill="FFFFFF"/>
          <w:lang w:val="en-US" w:eastAsia="zh-CN"/>
        </w:rPr>
        <w:id w:val="147463472"/>
        <w15:color w:val="DBDBDB"/>
        <w:docPartObj>
          <w:docPartGallery w:val="Table of Contents"/>
          <w:docPartUnique/>
        </w:docPartObj>
      </w:sdtPr>
      <w:sdtEndPr>
        <w:rPr>
          <w:rFonts w:hint="eastAsia" w:ascii="方正仿宋_GBK" w:hAnsi="方正仿宋_GBK" w:eastAsia="方正仿宋_GBK" w:cs="方正仿宋_GBK"/>
          <w:i w:val="0"/>
          <w:iCs w:val="0"/>
          <w:caps w:val="0"/>
          <w:color w:val="auto"/>
          <w:spacing w:val="0"/>
          <w:kern w:val="2"/>
          <w:sz w:val="21"/>
          <w:szCs w:val="32"/>
          <w:shd w:val="clear" w:fill="FFFFFF"/>
          <w:lang w:val="en-US" w:eastAsia="zh-CN" w:bidi="ar-SA"/>
        </w:rPr>
      </w:sdtEndPr>
      <w:sdtContent>
        <w:p w14:paraId="042D2ED5">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方正黑体_GBK" w:hAnsi="方正黑体_GBK" w:eastAsia="方正黑体_GBK" w:cs="方正黑体_GBK"/>
              <w:i w:val="0"/>
              <w:iCs w:val="0"/>
              <w:caps w:val="0"/>
              <w:color w:val="auto"/>
              <w:spacing w:val="0"/>
              <w:sz w:val="28"/>
              <w:szCs w:val="28"/>
              <w:shd w:val="clear" w:fill="FFFFFF"/>
              <w:lang w:val="en-US" w:eastAsia="zh-CN"/>
            </w:rPr>
          </w:pPr>
        </w:p>
        <w:p w14:paraId="3CFA6878">
          <w:pPr>
            <w:pStyle w:val="7"/>
            <w:keepNext w:val="0"/>
            <w:keepLines w:val="0"/>
            <w:pageBreakBefore w:val="0"/>
            <w:widowControl w:val="0"/>
            <w:tabs>
              <w:tab w:val="right" w:leader="dot" w:pos="8306"/>
            </w:tabs>
            <w:kinsoku/>
            <w:wordWrap/>
            <w:overflowPunct/>
            <w:topLinePunct w:val="0"/>
            <w:autoSpaceDE/>
            <w:autoSpaceDN/>
            <w:bidi w:val="0"/>
            <w:adjustRightInd w:val="0"/>
            <w:snapToGrid w:val="0"/>
            <w:spacing w:line="560" w:lineRule="exact"/>
            <w:textAlignment w:val="auto"/>
            <w:rPr>
              <w:rFonts w:hint="eastAsia" w:ascii="方正仿宋_GBK" w:hAnsi="方正仿宋_GBK" w:eastAsia="方正仿宋_GBK" w:cs="方正仿宋_GBK"/>
              <w:sz w:val="24"/>
              <w:szCs w:val="24"/>
            </w:rPr>
          </w:pPr>
          <w:r>
            <w:rPr>
              <w:rStyle w:val="11"/>
              <w:rFonts w:hint="eastAsia" w:ascii="方正仿宋_GBK" w:hAnsi="方正仿宋_GBK" w:eastAsia="方正仿宋_GBK" w:cs="方正仿宋_GBK"/>
              <w:i w:val="0"/>
              <w:iCs w:val="0"/>
              <w:caps w:val="0"/>
              <w:color w:val="auto"/>
              <w:spacing w:val="0"/>
              <w:sz w:val="24"/>
              <w:szCs w:val="24"/>
              <w:shd w:val="clear" w:fill="FFFFFF"/>
            </w:rPr>
            <w:fldChar w:fldCharType="begin"/>
          </w:r>
          <w:r>
            <w:rPr>
              <w:rStyle w:val="11"/>
              <w:rFonts w:hint="eastAsia" w:ascii="方正仿宋_GBK" w:hAnsi="方正仿宋_GBK" w:eastAsia="方正仿宋_GBK" w:cs="方正仿宋_GBK"/>
              <w:i w:val="0"/>
              <w:iCs w:val="0"/>
              <w:caps w:val="0"/>
              <w:color w:val="auto"/>
              <w:spacing w:val="0"/>
              <w:sz w:val="24"/>
              <w:szCs w:val="24"/>
              <w:shd w:val="clear" w:fill="FFFFFF"/>
            </w:rPr>
            <w:instrText xml:space="preserve">TOC \o "1-1" \h \u </w:instrText>
          </w:r>
          <w:r>
            <w:rPr>
              <w:rStyle w:val="11"/>
              <w:rFonts w:hint="eastAsia" w:ascii="方正仿宋_GBK" w:hAnsi="方正仿宋_GBK" w:eastAsia="方正仿宋_GBK" w:cs="方正仿宋_GBK"/>
              <w:i w:val="0"/>
              <w:iCs w:val="0"/>
              <w:caps w:val="0"/>
              <w:color w:val="auto"/>
              <w:spacing w:val="0"/>
              <w:sz w:val="24"/>
              <w:szCs w:val="24"/>
              <w:shd w:val="clear" w:fill="FFFFFF"/>
            </w:rPr>
            <w:fldChar w:fldCharType="separate"/>
          </w:r>
          <w:r>
            <w:rPr>
              <w:rFonts w:hint="eastAsia" w:ascii="方正仿宋_GBK" w:hAnsi="方正仿宋_GBK" w:eastAsia="方正仿宋_GBK" w:cs="方正仿宋_GBK"/>
              <w:i w:val="0"/>
              <w:iCs w:val="0"/>
              <w:caps w:val="0"/>
              <w:color w:val="auto"/>
              <w:spacing w:val="0"/>
              <w:sz w:val="24"/>
              <w:szCs w:val="24"/>
              <w:shd w:val="clear" w:fill="FFFFFF"/>
            </w:rPr>
            <w:fldChar w:fldCharType="begin"/>
          </w:r>
          <w:r>
            <w:rPr>
              <w:rFonts w:hint="eastAsia" w:ascii="方正仿宋_GBK" w:hAnsi="方正仿宋_GBK" w:eastAsia="方正仿宋_GBK" w:cs="方正仿宋_GBK"/>
              <w:i w:val="0"/>
              <w:iCs w:val="0"/>
              <w:caps w:val="0"/>
              <w:spacing w:val="0"/>
              <w:sz w:val="24"/>
              <w:szCs w:val="24"/>
              <w:shd w:val="clear" w:fill="FFFFFF"/>
            </w:rPr>
            <w:instrText xml:space="preserve"> HYPERLINK \l _Toc6427 </w:instrText>
          </w:r>
          <w:r>
            <w:rPr>
              <w:rFonts w:hint="eastAsia" w:ascii="方正仿宋_GBK" w:hAnsi="方正仿宋_GBK" w:eastAsia="方正仿宋_GBK" w:cs="方正仿宋_GBK"/>
              <w:i w:val="0"/>
              <w:iCs w:val="0"/>
              <w:caps w:val="0"/>
              <w:spacing w:val="0"/>
              <w:sz w:val="24"/>
              <w:szCs w:val="24"/>
              <w:shd w:val="clear" w:fill="FFFFFF"/>
            </w:rPr>
            <w:fldChar w:fldCharType="separate"/>
          </w:r>
          <w:r>
            <w:rPr>
              <w:rFonts w:hint="eastAsia" w:ascii="方正仿宋_GBK" w:hAnsi="方正仿宋_GBK" w:eastAsia="方正仿宋_GBK" w:cs="方正仿宋_GBK"/>
              <w:sz w:val="24"/>
              <w:szCs w:val="24"/>
              <w:lang w:val="en-US" w:eastAsia="zh-CN"/>
            </w:rPr>
            <w:t>1.习近平：坚持用改革精神和严的标准管党治党 坚决打好反腐败斗争攻坚战持久战总体战</w:t>
          </w:r>
          <w:r>
            <w:rPr>
              <w:rFonts w:hint="eastAsia" w:ascii="方正仿宋_GBK" w:hAnsi="方正仿宋_GBK" w:eastAsia="方正仿宋_GBK" w:cs="方正仿宋_GBK"/>
              <w:sz w:val="24"/>
              <w:szCs w:val="24"/>
            </w:rPr>
            <w:tab/>
          </w:r>
          <w:r>
            <w:rPr>
              <w:rFonts w:hint="eastAsia" w:ascii="方正仿宋_GBK" w:hAnsi="方正仿宋_GBK" w:eastAsia="方正仿宋_GBK" w:cs="方正仿宋_GBK"/>
              <w:sz w:val="24"/>
              <w:szCs w:val="24"/>
            </w:rPr>
            <w:fldChar w:fldCharType="begin"/>
          </w:r>
          <w:r>
            <w:rPr>
              <w:rFonts w:hint="eastAsia" w:ascii="方正仿宋_GBK" w:hAnsi="方正仿宋_GBK" w:eastAsia="方正仿宋_GBK" w:cs="方正仿宋_GBK"/>
              <w:sz w:val="24"/>
              <w:szCs w:val="24"/>
            </w:rPr>
            <w:instrText xml:space="preserve"> PAGEREF _Toc6427 \h </w:instrText>
          </w:r>
          <w:r>
            <w:rPr>
              <w:rFonts w:hint="eastAsia" w:ascii="方正仿宋_GBK" w:hAnsi="方正仿宋_GBK" w:eastAsia="方正仿宋_GBK" w:cs="方正仿宋_GBK"/>
              <w:sz w:val="24"/>
              <w:szCs w:val="24"/>
            </w:rPr>
            <w:fldChar w:fldCharType="separate"/>
          </w:r>
          <w:r>
            <w:rPr>
              <w:rFonts w:hint="eastAsia" w:ascii="方正仿宋_GBK" w:hAnsi="方正仿宋_GBK" w:eastAsia="方正仿宋_GBK" w:cs="方正仿宋_GBK"/>
              <w:sz w:val="24"/>
              <w:szCs w:val="24"/>
            </w:rPr>
            <w:t>1</w:t>
          </w:r>
          <w:r>
            <w:rPr>
              <w:rFonts w:hint="eastAsia" w:ascii="方正仿宋_GBK" w:hAnsi="方正仿宋_GBK" w:eastAsia="方正仿宋_GBK" w:cs="方正仿宋_GBK"/>
              <w:sz w:val="24"/>
              <w:szCs w:val="24"/>
            </w:rPr>
            <w:fldChar w:fldCharType="end"/>
          </w:r>
          <w:r>
            <w:rPr>
              <w:rFonts w:hint="eastAsia" w:ascii="方正仿宋_GBK" w:hAnsi="方正仿宋_GBK" w:eastAsia="方正仿宋_GBK" w:cs="方正仿宋_GBK"/>
              <w:i w:val="0"/>
              <w:iCs w:val="0"/>
              <w:caps w:val="0"/>
              <w:color w:val="auto"/>
              <w:spacing w:val="0"/>
              <w:sz w:val="24"/>
              <w:szCs w:val="24"/>
              <w:shd w:val="clear" w:fill="FFFFFF"/>
            </w:rPr>
            <w:fldChar w:fldCharType="end"/>
          </w:r>
        </w:p>
        <w:p w14:paraId="459B7D36">
          <w:pPr>
            <w:pStyle w:val="7"/>
            <w:keepNext w:val="0"/>
            <w:keepLines w:val="0"/>
            <w:pageBreakBefore w:val="0"/>
            <w:widowControl w:val="0"/>
            <w:tabs>
              <w:tab w:val="right" w:leader="dot" w:pos="8306"/>
            </w:tabs>
            <w:kinsoku/>
            <w:wordWrap/>
            <w:overflowPunct/>
            <w:topLinePunct w:val="0"/>
            <w:autoSpaceDE/>
            <w:autoSpaceDN/>
            <w:bidi w:val="0"/>
            <w:adjustRightInd w:val="0"/>
            <w:snapToGrid w:val="0"/>
            <w:spacing w:line="560" w:lineRule="exact"/>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i w:val="0"/>
              <w:iCs w:val="0"/>
              <w:caps w:val="0"/>
              <w:color w:val="auto"/>
              <w:spacing w:val="0"/>
              <w:sz w:val="24"/>
              <w:szCs w:val="24"/>
              <w:shd w:val="clear" w:fill="FFFFFF"/>
            </w:rPr>
            <w:fldChar w:fldCharType="begin"/>
          </w:r>
          <w:r>
            <w:rPr>
              <w:rFonts w:hint="eastAsia" w:ascii="方正仿宋_GBK" w:hAnsi="方正仿宋_GBK" w:eastAsia="方正仿宋_GBK" w:cs="方正仿宋_GBK"/>
              <w:i w:val="0"/>
              <w:iCs w:val="0"/>
              <w:caps w:val="0"/>
              <w:spacing w:val="0"/>
              <w:sz w:val="24"/>
              <w:szCs w:val="24"/>
              <w:shd w:val="clear" w:fill="FFFFFF"/>
            </w:rPr>
            <w:instrText xml:space="preserve"> HYPERLINK \l _Toc21390 </w:instrText>
          </w:r>
          <w:r>
            <w:rPr>
              <w:rFonts w:hint="eastAsia" w:ascii="方正仿宋_GBK" w:hAnsi="方正仿宋_GBK" w:eastAsia="方正仿宋_GBK" w:cs="方正仿宋_GBK"/>
              <w:i w:val="0"/>
              <w:iCs w:val="0"/>
              <w:caps w:val="0"/>
              <w:spacing w:val="0"/>
              <w:sz w:val="24"/>
              <w:szCs w:val="24"/>
              <w:shd w:val="clear" w:fill="FFFFFF"/>
            </w:rPr>
            <w:fldChar w:fldCharType="separate"/>
          </w:r>
          <w:r>
            <w:rPr>
              <w:rFonts w:hint="eastAsia" w:ascii="方正仿宋_GBK" w:hAnsi="方正仿宋_GBK" w:eastAsia="方正仿宋_GBK" w:cs="方正仿宋_GBK"/>
              <w:sz w:val="24"/>
              <w:szCs w:val="24"/>
              <w:lang w:val="en-US" w:eastAsia="zh-CN"/>
            </w:rPr>
            <w:t>2.习近平：进一步全面深化改革中的几个重大理论和实践问题</w:t>
          </w:r>
          <w:r>
            <w:rPr>
              <w:rFonts w:hint="eastAsia" w:ascii="方正仿宋_GBK" w:hAnsi="方正仿宋_GBK" w:eastAsia="方正仿宋_GBK" w:cs="方正仿宋_GBK"/>
              <w:sz w:val="24"/>
              <w:szCs w:val="24"/>
            </w:rPr>
            <w:tab/>
          </w:r>
          <w:r>
            <w:rPr>
              <w:rFonts w:hint="eastAsia" w:ascii="方正仿宋_GBK" w:hAnsi="方正仿宋_GBK" w:eastAsia="方正仿宋_GBK" w:cs="方正仿宋_GBK"/>
              <w:sz w:val="24"/>
              <w:szCs w:val="24"/>
            </w:rPr>
            <w:fldChar w:fldCharType="begin"/>
          </w:r>
          <w:r>
            <w:rPr>
              <w:rFonts w:hint="eastAsia" w:ascii="方正仿宋_GBK" w:hAnsi="方正仿宋_GBK" w:eastAsia="方正仿宋_GBK" w:cs="方正仿宋_GBK"/>
              <w:sz w:val="24"/>
              <w:szCs w:val="24"/>
            </w:rPr>
            <w:instrText xml:space="preserve"> PAGEREF _Toc21390 \h </w:instrText>
          </w:r>
          <w:r>
            <w:rPr>
              <w:rFonts w:hint="eastAsia" w:ascii="方正仿宋_GBK" w:hAnsi="方正仿宋_GBK" w:eastAsia="方正仿宋_GBK" w:cs="方正仿宋_GBK"/>
              <w:sz w:val="24"/>
              <w:szCs w:val="24"/>
            </w:rPr>
            <w:fldChar w:fldCharType="separate"/>
          </w:r>
          <w:r>
            <w:rPr>
              <w:rFonts w:hint="eastAsia" w:ascii="方正仿宋_GBK" w:hAnsi="方正仿宋_GBK" w:eastAsia="方正仿宋_GBK" w:cs="方正仿宋_GBK"/>
              <w:sz w:val="24"/>
              <w:szCs w:val="24"/>
            </w:rPr>
            <w:t>6</w:t>
          </w:r>
          <w:r>
            <w:rPr>
              <w:rFonts w:hint="eastAsia" w:ascii="方正仿宋_GBK" w:hAnsi="方正仿宋_GBK" w:eastAsia="方正仿宋_GBK" w:cs="方正仿宋_GBK"/>
              <w:sz w:val="24"/>
              <w:szCs w:val="24"/>
            </w:rPr>
            <w:fldChar w:fldCharType="end"/>
          </w:r>
          <w:r>
            <w:rPr>
              <w:rFonts w:hint="eastAsia" w:ascii="方正仿宋_GBK" w:hAnsi="方正仿宋_GBK" w:eastAsia="方正仿宋_GBK" w:cs="方正仿宋_GBK"/>
              <w:i w:val="0"/>
              <w:iCs w:val="0"/>
              <w:caps w:val="0"/>
              <w:color w:val="auto"/>
              <w:spacing w:val="0"/>
              <w:sz w:val="24"/>
              <w:szCs w:val="24"/>
              <w:shd w:val="clear" w:fill="FFFFFF"/>
            </w:rPr>
            <w:fldChar w:fldCharType="end"/>
          </w:r>
        </w:p>
        <w:p w14:paraId="674A1F54">
          <w:pPr>
            <w:pStyle w:val="7"/>
            <w:keepNext w:val="0"/>
            <w:keepLines w:val="0"/>
            <w:pageBreakBefore w:val="0"/>
            <w:widowControl w:val="0"/>
            <w:tabs>
              <w:tab w:val="right" w:leader="dot" w:pos="8306"/>
            </w:tabs>
            <w:kinsoku/>
            <w:wordWrap/>
            <w:overflowPunct/>
            <w:topLinePunct w:val="0"/>
            <w:autoSpaceDE/>
            <w:autoSpaceDN/>
            <w:bidi w:val="0"/>
            <w:adjustRightInd w:val="0"/>
            <w:snapToGrid w:val="0"/>
            <w:spacing w:line="560" w:lineRule="exact"/>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i w:val="0"/>
              <w:iCs w:val="0"/>
              <w:caps w:val="0"/>
              <w:color w:val="auto"/>
              <w:spacing w:val="0"/>
              <w:sz w:val="24"/>
              <w:szCs w:val="24"/>
              <w:shd w:val="clear" w:fill="FFFFFF"/>
            </w:rPr>
            <w:fldChar w:fldCharType="begin"/>
          </w:r>
          <w:r>
            <w:rPr>
              <w:rFonts w:hint="eastAsia" w:ascii="方正仿宋_GBK" w:hAnsi="方正仿宋_GBK" w:eastAsia="方正仿宋_GBK" w:cs="方正仿宋_GBK"/>
              <w:i w:val="0"/>
              <w:iCs w:val="0"/>
              <w:caps w:val="0"/>
              <w:spacing w:val="0"/>
              <w:sz w:val="24"/>
              <w:szCs w:val="24"/>
              <w:shd w:val="clear" w:fill="FFFFFF"/>
            </w:rPr>
            <w:instrText xml:space="preserve"> HYPERLINK \l _Toc32537 </w:instrText>
          </w:r>
          <w:r>
            <w:rPr>
              <w:rFonts w:hint="eastAsia" w:ascii="方正仿宋_GBK" w:hAnsi="方正仿宋_GBK" w:eastAsia="方正仿宋_GBK" w:cs="方正仿宋_GBK"/>
              <w:i w:val="0"/>
              <w:iCs w:val="0"/>
              <w:caps w:val="0"/>
              <w:spacing w:val="0"/>
              <w:sz w:val="24"/>
              <w:szCs w:val="24"/>
              <w:shd w:val="clear" w:fill="FFFFFF"/>
            </w:rPr>
            <w:fldChar w:fldCharType="separate"/>
          </w:r>
          <w:r>
            <w:rPr>
              <w:rFonts w:hint="eastAsia" w:ascii="方正仿宋_GBK" w:hAnsi="方正仿宋_GBK" w:eastAsia="方正仿宋_GBK" w:cs="方正仿宋_GBK"/>
              <w:sz w:val="24"/>
              <w:szCs w:val="24"/>
              <w:lang w:val="en-US" w:eastAsia="zh-CN"/>
            </w:rPr>
            <w:t>3.习近平：健全全面从严治党体系</w:t>
          </w:r>
          <w:r>
            <w:rPr>
              <w:rFonts w:hint="eastAsia" w:ascii="方正仿宋_GBK" w:hAnsi="方正仿宋_GBK" w:eastAsia="方正仿宋_GBK" w:cs="方正仿宋_GBK"/>
              <w:sz w:val="24"/>
              <w:szCs w:val="24"/>
            </w:rPr>
            <w:tab/>
          </w:r>
          <w:r>
            <w:rPr>
              <w:rFonts w:hint="eastAsia" w:ascii="方正仿宋_GBK" w:hAnsi="方正仿宋_GBK" w:eastAsia="方正仿宋_GBK" w:cs="方正仿宋_GBK"/>
              <w:sz w:val="24"/>
              <w:szCs w:val="24"/>
            </w:rPr>
            <w:fldChar w:fldCharType="begin"/>
          </w:r>
          <w:r>
            <w:rPr>
              <w:rFonts w:hint="eastAsia" w:ascii="方正仿宋_GBK" w:hAnsi="方正仿宋_GBK" w:eastAsia="方正仿宋_GBK" w:cs="方正仿宋_GBK"/>
              <w:sz w:val="24"/>
              <w:szCs w:val="24"/>
            </w:rPr>
            <w:instrText xml:space="preserve"> PAGEREF _Toc32537 \h </w:instrText>
          </w:r>
          <w:r>
            <w:rPr>
              <w:rFonts w:hint="eastAsia" w:ascii="方正仿宋_GBK" w:hAnsi="方正仿宋_GBK" w:eastAsia="方正仿宋_GBK" w:cs="方正仿宋_GBK"/>
              <w:sz w:val="24"/>
              <w:szCs w:val="24"/>
            </w:rPr>
            <w:fldChar w:fldCharType="separate"/>
          </w:r>
          <w:r>
            <w:rPr>
              <w:rFonts w:hint="eastAsia" w:ascii="方正仿宋_GBK" w:hAnsi="方正仿宋_GBK" w:eastAsia="方正仿宋_GBK" w:cs="方正仿宋_GBK"/>
              <w:sz w:val="24"/>
              <w:szCs w:val="24"/>
            </w:rPr>
            <w:t>14</w:t>
          </w:r>
          <w:r>
            <w:rPr>
              <w:rFonts w:hint="eastAsia" w:ascii="方正仿宋_GBK" w:hAnsi="方正仿宋_GBK" w:eastAsia="方正仿宋_GBK" w:cs="方正仿宋_GBK"/>
              <w:sz w:val="24"/>
              <w:szCs w:val="24"/>
            </w:rPr>
            <w:fldChar w:fldCharType="end"/>
          </w:r>
          <w:r>
            <w:rPr>
              <w:rFonts w:hint="eastAsia" w:ascii="方正仿宋_GBK" w:hAnsi="方正仿宋_GBK" w:eastAsia="方正仿宋_GBK" w:cs="方正仿宋_GBK"/>
              <w:i w:val="0"/>
              <w:iCs w:val="0"/>
              <w:caps w:val="0"/>
              <w:color w:val="auto"/>
              <w:spacing w:val="0"/>
              <w:sz w:val="24"/>
              <w:szCs w:val="24"/>
              <w:shd w:val="clear" w:fill="FFFFFF"/>
            </w:rPr>
            <w:fldChar w:fldCharType="end"/>
          </w:r>
        </w:p>
        <w:p w14:paraId="524FE7DE">
          <w:pPr>
            <w:pStyle w:val="7"/>
            <w:keepNext w:val="0"/>
            <w:keepLines w:val="0"/>
            <w:pageBreakBefore w:val="0"/>
            <w:widowControl w:val="0"/>
            <w:tabs>
              <w:tab w:val="right" w:leader="dot" w:pos="8306"/>
            </w:tabs>
            <w:kinsoku/>
            <w:wordWrap/>
            <w:overflowPunct/>
            <w:topLinePunct w:val="0"/>
            <w:autoSpaceDE/>
            <w:autoSpaceDN/>
            <w:bidi w:val="0"/>
            <w:adjustRightInd w:val="0"/>
            <w:snapToGrid w:val="0"/>
            <w:spacing w:line="560" w:lineRule="exact"/>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i w:val="0"/>
              <w:iCs w:val="0"/>
              <w:caps w:val="0"/>
              <w:color w:val="auto"/>
              <w:spacing w:val="0"/>
              <w:sz w:val="24"/>
              <w:szCs w:val="24"/>
              <w:shd w:val="clear" w:fill="FFFFFF"/>
            </w:rPr>
            <w:fldChar w:fldCharType="begin"/>
          </w:r>
          <w:r>
            <w:rPr>
              <w:rFonts w:hint="eastAsia" w:ascii="方正仿宋_GBK" w:hAnsi="方正仿宋_GBK" w:eastAsia="方正仿宋_GBK" w:cs="方正仿宋_GBK"/>
              <w:i w:val="0"/>
              <w:iCs w:val="0"/>
              <w:caps w:val="0"/>
              <w:spacing w:val="0"/>
              <w:sz w:val="24"/>
              <w:szCs w:val="24"/>
              <w:shd w:val="clear" w:fill="FFFFFF"/>
            </w:rPr>
            <w:instrText xml:space="preserve"> HYPERLINK \l _Toc3349 </w:instrText>
          </w:r>
          <w:r>
            <w:rPr>
              <w:rFonts w:hint="eastAsia" w:ascii="方正仿宋_GBK" w:hAnsi="方正仿宋_GBK" w:eastAsia="方正仿宋_GBK" w:cs="方正仿宋_GBK"/>
              <w:i w:val="0"/>
              <w:iCs w:val="0"/>
              <w:caps w:val="0"/>
              <w:spacing w:val="0"/>
              <w:sz w:val="24"/>
              <w:szCs w:val="24"/>
              <w:shd w:val="clear" w:fill="FFFFFF"/>
            </w:rPr>
            <w:fldChar w:fldCharType="separate"/>
          </w:r>
          <w:r>
            <w:rPr>
              <w:rFonts w:hint="eastAsia" w:ascii="方正仿宋_GBK" w:hAnsi="方正仿宋_GBK" w:eastAsia="方正仿宋_GBK" w:cs="方正仿宋_GBK"/>
              <w:sz w:val="24"/>
              <w:szCs w:val="24"/>
              <w:lang w:val="en-US" w:eastAsia="zh-CN"/>
            </w:rPr>
            <w:t>4.习近平：坚定不移贯彻总体国家安全观把平安中国建设推向更高水平</w:t>
          </w:r>
          <w:r>
            <w:rPr>
              <w:rFonts w:hint="eastAsia" w:ascii="方正仿宋_GBK" w:hAnsi="方正仿宋_GBK" w:eastAsia="方正仿宋_GBK" w:cs="方正仿宋_GBK"/>
              <w:sz w:val="24"/>
              <w:szCs w:val="24"/>
            </w:rPr>
            <w:tab/>
          </w:r>
          <w:r>
            <w:rPr>
              <w:rFonts w:hint="eastAsia" w:ascii="方正仿宋_GBK" w:hAnsi="方正仿宋_GBK" w:eastAsia="方正仿宋_GBK" w:cs="方正仿宋_GBK"/>
              <w:sz w:val="24"/>
              <w:szCs w:val="24"/>
            </w:rPr>
            <w:fldChar w:fldCharType="begin"/>
          </w:r>
          <w:r>
            <w:rPr>
              <w:rFonts w:hint="eastAsia" w:ascii="方正仿宋_GBK" w:hAnsi="方正仿宋_GBK" w:eastAsia="方正仿宋_GBK" w:cs="方正仿宋_GBK"/>
              <w:sz w:val="24"/>
              <w:szCs w:val="24"/>
            </w:rPr>
            <w:instrText xml:space="preserve"> PAGEREF _Toc3349 \h </w:instrText>
          </w:r>
          <w:r>
            <w:rPr>
              <w:rFonts w:hint="eastAsia" w:ascii="方正仿宋_GBK" w:hAnsi="方正仿宋_GBK" w:eastAsia="方正仿宋_GBK" w:cs="方正仿宋_GBK"/>
              <w:sz w:val="24"/>
              <w:szCs w:val="24"/>
            </w:rPr>
            <w:fldChar w:fldCharType="separate"/>
          </w:r>
          <w:r>
            <w:rPr>
              <w:rFonts w:hint="eastAsia" w:ascii="方正仿宋_GBK" w:hAnsi="方正仿宋_GBK" w:eastAsia="方正仿宋_GBK" w:cs="方正仿宋_GBK"/>
              <w:sz w:val="24"/>
              <w:szCs w:val="24"/>
            </w:rPr>
            <w:t>19</w:t>
          </w:r>
          <w:r>
            <w:rPr>
              <w:rFonts w:hint="eastAsia" w:ascii="方正仿宋_GBK" w:hAnsi="方正仿宋_GBK" w:eastAsia="方正仿宋_GBK" w:cs="方正仿宋_GBK"/>
              <w:sz w:val="24"/>
              <w:szCs w:val="24"/>
            </w:rPr>
            <w:fldChar w:fldCharType="end"/>
          </w:r>
          <w:r>
            <w:rPr>
              <w:rFonts w:hint="eastAsia" w:ascii="方正仿宋_GBK" w:hAnsi="方正仿宋_GBK" w:eastAsia="方正仿宋_GBK" w:cs="方正仿宋_GBK"/>
              <w:i w:val="0"/>
              <w:iCs w:val="0"/>
              <w:caps w:val="0"/>
              <w:color w:val="auto"/>
              <w:spacing w:val="0"/>
              <w:sz w:val="24"/>
              <w:szCs w:val="24"/>
              <w:shd w:val="clear" w:fill="FFFFFF"/>
            </w:rPr>
            <w:fldChar w:fldCharType="end"/>
          </w:r>
        </w:p>
        <w:p w14:paraId="781C600C">
          <w:pPr>
            <w:pStyle w:val="7"/>
            <w:keepNext w:val="0"/>
            <w:keepLines w:val="0"/>
            <w:pageBreakBefore w:val="0"/>
            <w:widowControl w:val="0"/>
            <w:tabs>
              <w:tab w:val="right" w:leader="dot" w:pos="8306"/>
            </w:tabs>
            <w:kinsoku/>
            <w:wordWrap/>
            <w:overflowPunct/>
            <w:topLinePunct w:val="0"/>
            <w:autoSpaceDE/>
            <w:autoSpaceDN/>
            <w:bidi w:val="0"/>
            <w:adjustRightInd w:val="0"/>
            <w:snapToGrid w:val="0"/>
            <w:spacing w:line="560" w:lineRule="exact"/>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i w:val="0"/>
              <w:iCs w:val="0"/>
              <w:caps w:val="0"/>
              <w:color w:val="auto"/>
              <w:spacing w:val="0"/>
              <w:sz w:val="24"/>
              <w:szCs w:val="24"/>
              <w:shd w:val="clear" w:fill="FFFFFF"/>
            </w:rPr>
            <w:fldChar w:fldCharType="begin"/>
          </w:r>
          <w:r>
            <w:rPr>
              <w:rFonts w:hint="eastAsia" w:ascii="方正仿宋_GBK" w:hAnsi="方正仿宋_GBK" w:eastAsia="方正仿宋_GBK" w:cs="方正仿宋_GBK"/>
              <w:i w:val="0"/>
              <w:iCs w:val="0"/>
              <w:caps w:val="0"/>
              <w:spacing w:val="0"/>
              <w:sz w:val="24"/>
              <w:szCs w:val="24"/>
              <w:shd w:val="clear" w:fill="FFFFFF"/>
            </w:rPr>
            <w:instrText xml:space="preserve"> HYPERLINK \l _Toc23747 </w:instrText>
          </w:r>
          <w:r>
            <w:rPr>
              <w:rFonts w:hint="eastAsia" w:ascii="方正仿宋_GBK" w:hAnsi="方正仿宋_GBK" w:eastAsia="方正仿宋_GBK" w:cs="方正仿宋_GBK"/>
              <w:i w:val="0"/>
              <w:iCs w:val="0"/>
              <w:caps w:val="0"/>
              <w:spacing w:val="0"/>
              <w:sz w:val="24"/>
              <w:szCs w:val="24"/>
              <w:shd w:val="clear" w:fill="FFFFFF"/>
            </w:rPr>
            <w:fldChar w:fldCharType="separate"/>
          </w:r>
          <w:r>
            <w:rPr>
              <w:rFonts w:hint="eastAsia" w:ascii="方正仿宋_GBK" w:hAnsi="方正仿宋_GBK" w:eastAsia="方正仿宋_GBK" w:cs="方正仿宋_GBK"/>
              <w:sz w:val="24"/>
              <w:szCs w:val="24"/>
              <w:lang w:val="en-US" w:eastAsia="zh-CN"/>
            </w:rPr>
            <w:t>5.</w:t>
          </w:r>
          <w:r>
            <w:rPr>
              <w:rFonts w:hint="eastAsia" w:ascii="方正仿宋_GBK" w:hAnsi="方正仿宋_GBK" w:eastAsia="方正仿宋_GBK" w:cs="方正仿宋_GBK"/>
              <w:sz w:val="24"/>
              <w:szCs w:val="24"/>
            </w:rPr>
            <w:t>习近平：强化教育对科技和人才支撑作用形成人才辈出人尽其才才尽其用生动局面</w:t>
          </w:r>
          <w:r>
            <w:rPr>
              <w:rFonts w:hint="eastAsia" w:ascii="方正仿宋_GBK" w:hAnsi="方正仿宋_GBK" w:eastAsia="方正仿宋_GBK" w:cs="方正仿宋_GBK"/>
              <w:sz w:val="24"/>
              <w:szCs w:val="24"/>
            </w:rPr>
            <w:tab/>
          </w:r>
          <w:r>
            <w:rPr>
              <w:rFonts w:hint="eastAsia" w:ascii="方正仿宋_GBK" w:hAnsi="方正仿宋_GBK" w:eastAsia="方正仿宋_GBK" w:cs="方正仿宋_GBK"/>
              <w:sz w:val="24"/>
              <w:szCs w:val="24"/>
            </w:rPr>
            <w:fldChar w:fldCharType="begin"/>
          </w:r>
          <w:r>
            <w:rPr>
              <w:rFonts w:hint="eastAsia" w:ascii="方正仿宋_GBK" w:hAnsi="方正仿宋_GBK" w:eastAsia="方正仿宋_GBK" w:cs="方正仿宋_GBK"/>
              <w:sz w:val="24"/>
              <w:szCs w:val="24"/>
            </w:rPr>
            <w:instrText xml:space="preserve"> PAGEREF _Toc23747 \h </w:instrText>
          </w:r>
          <w:r>
            <w:rPr>
              <w:rFonts w:hint="eastAsia" w:ascii="方正仿宋_GBK" w:hAnsi="方正仿宋_GBK" w:eastAsia="方正仿宋_GBK" w:cs="方正仿宋_GBK"/>
              <w:sz w:val="24"/>
              <w:szCs w:val="24"/>
            </w:rPr>
            <w:fldChar w:fldCharType="separate"/>
          </w:r>
          <w:r>
            <w:rPr>
              <w:rFonts w:hint="eastAsia" w:ascii="方正仿宋_GBK" w:hAnsi="方正仿宋_GBK" w:eastAsia="方正仿宋_GBK" w:cs="方正仿宋_GBK"/>
              <w:sz w:val="24"/>
              <w:szCs w:val="24"/>
            </w:rPr>
            <w:t>22</w:t>
          </w:r>
          <w:r>
            <w:rPr>
              <w:rFonts w:hint="eastAsia" w:ascii="方正仿宋_GBK" w:hAnsi="方正仿宋_GBK" w:eastAsia="方正仿宋_GBK" w:cs="方正仿宋_GBK"/>
              <w:sz w:val="24"/>
              <w:szCs w:val="24"/>
            </w:rPr>
            <w:fldChar w:fldCharType="end"/>
          </w:r>
          <w:r>
            <w:rPr>
              <w:rFonts w:hint="eastAsia" w:ascii="方正仿宋_GBK" w:hAnsi="方正仿宋_GBK" w:eastAsia="方正仿宋_GBK" w:cs="方正仿宋_GBK"/>
              <w:i w:val="0"/>
              <w:iCs w:val="0"/>
              <w:caps w:val="0"/>
              <w:color w:val="auto"/>
              <w:spacing w:val="0"/>
              <w:sz w:val="24"/>
              <w:szCs w:val="24"/>
              <w:shd w:val="clear" w:fill="FFFFFF"/>
            </w:rPr>
            <w:fldChar w:fldCharType="end"/>
          </w:r>
        </w:p>
        <w:p w14:paraId="1234799C">
          <w:pPr>
            <w:pStyle w:val="7"/>
            <w:keepNext w:val="0"/>
            <w:keepLines w:val="0"/>
            <w:pageBreakBefore w:val="0"/>
            <w:widowControl w:val="0"/>
            <w:tabs>
              <w:tab w:val="right" w:leader="dot" w:pos="8306"/>
            </w:tabs>
            <w:kinsoku/>
            <w:wordWrap/>
            <w:overflowPunct/>
            <w:topLinePunct w:val="0"/>
            <w:autoSpaceDE/>
            <w:autoSpaceDN/>
            <w:bidi w:val="0"/>
            <w:adjustRightInd w:val="0"/>
            <w:snapToGrid w:val="0"/>
            <w:spacing w:line="560" w:lineRule="exact"/>
            <w:textAlignment w:val="auto"/>
            <w:rPr>
              <w:rFonts w:hint="default" w:ascii="方正仿宋_GBK" w:hAnsi="方正仿宋_GBK" w:eastAsia="方正仿宋_GBK" w:cs="方正仿宋_GBK"/>
              <w:i w:val="0"/>
              <w:iCs w:val="0"/>
              <w:caps w:val="0"/>
              <w:color w:val="auto"/>
              <w:spacing w:val="0"/>
              <w:sz w:val="24"/>
              <w:szCs w:val="24"/>
              <w:shd w:val="clear" w:fill="FFFFFF"/>
              <w:lang w:val="en-US" w:eastAsia="zh-CN"/>
            </w:rPr>
          </w:pPr>
          <w:r>
            <w:rPr>
              <w:rFonts w:hint="eastAsia" w:ascii="方正仿宋_GBK" w:hAnsi="方正仿宋_GBK" w:eastAsia="方正仿宋_GBK" w:cs="方正仿宋_GBK"/>
              <w:i w:val="0"/>
              <w:iCs w:val="0"/>
              <w:caps w:val="0"/>
              <w:color w:val="auto"/>
              <w:spacing w:val="0"/>
              <w:sz w:val="24"/>
              <w:szCs w:val="24"/>
              <w:shd w:val="clear" w:fill="FFFFFF"/>
            </w:rPr>
            <w:fldChar w:fldCharType="begin"/>
          </w:r>
          <w:r>
            <w:rPr>
              <w:rFonts w:hint="eastAsia" w:ascii="方正仿宋_GBK" w:hAnsi="方正仿宋_GBK" w:eastAsia="方正仿宋_GBK" w:cs="方正仿宋_GBK"/>
              <w:i w:val="0"/>
              <w:iCs w:val="0"/>
              <w:caps w:val="0"/>
              <w:spacing w:val="0"/>
              <w:sz w:val="24"/>
              <w:szCs w:val="24"/>
              <w:shd w:val="clear" w:fill="FFFFFF"/>
            </w:rPr>
            <w:instrText xml:space="preserve"> HYPERLINK \l _Toc13577 </w:instrText>
          </w:r>
          <w:r>
            <w:rPr>
              <w:rFonts w:hint="eastAsia" w:ascii="方正仿宋_GBK" w:hAnsi="方正仿宋_GBK" w:eastAsia="方正仿宋_GBK" w:cs="方正仿宋_GBK"/>
              <w:i w:val="0"/>
              <w:iCs w:val="0"/>
              <w:caps w:val="0"/>
              <w:spacing w:val="0"/>
              <w:sz w:val="24"/>
              <w:szCs w:val="24"/>
              <w:shd w:val="clear" w:fill="FFFFFF"/>
            </w:rPr>
            <w:fldChar w:fldCharType="separate"/>
          </w:r>
          <w:r>
            <w:rPr>
              <w:rFonts w:hint="eastAsia" w:ascii="方正仿宋_GBK" w:hAnsi="方正仿宋_GBK" w:eastAsia="方正仿宋_GBK" w:cs="方正仿宋_GBK"/>
              <w:i w:val="0"/>
              <w:iCs w:val="0"/>
              <w:caps w:val="0"/>
              <w:spacing w:val="0"/>
              <w:sz w:val="24"/>
              <w:szCs w:val="24"/>
              <w:shd w:val="clear" w:fill="FFFFFF"/>
              <w:lang w:val="en-US" w:eastAsia="zh-CN"/>
            </w:rPr>
            <w:t>6</w:t>
          </w:r>
          <w:r>
            <w:rPr>
              <w:rFonts w:hint="eastAsia" w:ascii="方正仿宋_GBK" w:hAnsi="方正仿宋_GBK" w:eastAsia="方正仿宋_GBK" w:cs="方正仿宋_GBK"/>
              <w:sz w:val="24"/>
              <w:szCs w:val="24"/>
              <w:lang w:val="en-US" w:eastAsia="zh-CN"/>
            </w:rPr>
            <w:t>.《政府工作报告》（全文）</w:t>
          </w:r>
          <w:r>
            <w:rPr>
              <w:rFonts w:hint="eastAsia" w:ascii="方正仿宋_GBK" w:hAnsi="方正仿宋_GBK" w:eastAsia="方正仿宋_GBK" w:cs="方正仿宋_GBK"/>
              <w:sz w:val="24"/>
              <w:szCs w:val="24"/>
            </w:rPr>
            <w:tab/>
          </w:r>
          <w:r>
            <w:rPr>
              <w:rFonts w:hint="eastAsia" w:ascii="方正仿宋_GBK" w:hAnsi="方正仿宋_GBK" w:eastAsia="方正仿宋_GBK" w:cs="方正仿宋_GBK"/>
              <w:i w:val="0"/>
              <w:iCs w:val="0"/>
              <w:caps w:val="0"/>
              <w:color w:val="auto"/>
              <w:spacing w:val="0"/>
              <w:sz w:val="24"/>
              <w:szCs w:val="24"/>
              <w:shd w:val="clear" w:fill="FFFFFF"/>
            </w:rPr>
            <w:fldChar w:fldCharType="end"/>
          </w:r>
          <w:r>
            <w:rPr>
              <w:rFonts w:hint="eastAsia" w:ascii="方正仿宋_GBK" w:hAnsi="方正仿宋_GBK" w:eastAsia="方正仿宋_GBK" w:cs="方正仿宋_GBK"/>
              <w:i w:val="0"/>
              <w:iCs w:val="0"/>
              <w:caps w:val="0"/>
              <w:color w:val="auto"/>
              <w:spacing w:val="0"/>
              <w:sz w:val="24"/>
              <w:szCs w:val="24"/>
              <w:shd w:val="clear" w:fill="FFFFFF"/>
              <w:lang w:val="en-US" w:eastAsia="zh-CN"/>
            </w:rPr>
            <w:t>25</w:t>
          </w:r>
        </w:p>
        <w:p w14:paraId="0A208F60">
          <w:pPr>
            <w:pStyle w:val="7"/>
            <w:keepNext w:val="0"/>
            <w:keepLines w:val="0"/>
            <w:pageBreakBefore w:val="0"/>
            <w:widowControl w:val="0"/>
            <w:tabs>
              <w:tab w:val="right" w:leader="dot" w:pos="8306"/>
            </w:tabs>
            <w:kinsoku/>
            <w:wordWrap/>
            <w:overflowPunct/>
            <w:topLinePunct w:val="0"/>
            <w:autoSpaceDE/>
            <w:autoSpaceDN/>
            <w:bidi w:val="0"/>
            <w:adjustRightInd w:val="0"/>
            <w:snapToGrid w:val="0"/>
            <w:spacing w:line="560" w:lineRule="exact"/>
            <w:textAlignment w:val="auto"/>
            <w:rPr>
              <w:rFonts w:hint="default" w:ascii="方正仿宋_GBK" w:hAnsi="方正仿宋_GBK" w:eastAsia="方正仿宋_GBK" w:cs="方正仿宋_GBK"/>
              <w:sz w:val="24"/>
              <w:szCs w:val="24"/>
              <w:lang w:val="en-US" w:eastAsia="zh-CN"/>
            </w:rPr>
          </w:pPr>
          <w:r>
            <w:rPr>
              <w:rFonts w:hint="eastAsia" w:ascii="方正仿宋_GBK" w:hAnsi="方正仿宋_GBK" w:eastAsia="方正仿宋_GBK" w:cs="方正仿宋_GBK"/>
              <w:i w:val="0"/>
              <w:iCs w:val="0"/>
              <w:caps w:val="0"/>
              <w:color w:val="auto"/>
              <w:spacing w:val="0"/>
              <w:sz w:val="24"/>
              <w:szCs w:val="24"/>
              <w:shd w:val="clear" w:fill="FFFFFF"/>
              <w:lang w:val="en-US" w:eastAsia="zh-CN"/>
            </w:rPr>
            <w:t>7</w:t>
          </w:r>
          <w:r>
            <w:rPr>
              <w:rFonts w:hint="eastAsia" w:ascii="方正仿宋_GBK" w:hAnsi="方正仿宋_GBK" w:eastAsia="方正仿宋_GBK" w:cs="方正仿宋_GBK"/>
              <w:i w:val="0"/>
              <w:iCs w:val="0"/>
              <w:caps w:val="0"/>
              <w:color w:val="auto"/>
              <w:spacing w:val="0"/>
              <w:sz w:val="24"/>
              <w:szCs w:val="24"/>
              <w:shd w:val="clear" w:fill="FFFFFF"/>
            </w:rPr>
            <w:fldChar w:fldCharType="begin"/>
          </w:r>
          <w:r>
            <w:rPr>
              <w:rFonts w:hint="eastAsia" w:ascii="方正仿宋_GBK" w:hAnsi="方正仿宋_GBK" w:eastAsia="方正仿宋_GBK" w:cs="方正仿宋_GBK"/>
              <w:i w:val="0"/>
              <w:iCs w:val="0"/>
              <w:caps w:val="0"/>
              <w:spacing w:val="0"/>
              <w:sz w:val="24"/>
              <w:szCs w:val="24"/>
              <w:shd w:val="clear" w:fill="FFFFFF"/>
            </w:rPr>
            <w:instrText xml:space="preserve"> HYPERLINK \l _Toc6549 </w:instrText>
          </w:r>
          <w:r>
            <w:rPr>
              <w:rFonts w:hint="eastAsia" w:ascii="方正仿宋_GBK" w:hAnsi="方正仿宋_GBK" w:eastAsia="方正仿宋_GBK" w:cs="方正仿宋_GBK"/>
              <w:i w:val="0"/>
              <w:iCs w:val="0"/>
              <w:caps w:val="0"/>
              <w:spacing w:val="0"/>
              <w:sz w:val="24"/>
              <w:szCs w:val="24"/>
              <w:shd w:val="clear" w:fill="FFFFFF"/>
            </w:rPr>
            <w:fldChar w:fldCharType="separate"/>
          </w:r>
          <w:r>
            <w:rPr>
              <w:rFonts w:hint="eastAsia" w:ascii="方正仿宋_GBK" w:hAnsi="方正仿宋_GBK" w:eastAsia="方正仿宋_GBK" w:cs="方正仿宋_GBK"/>
              <w:sz w:val="24"/>
              <w:szCs w:val="24"/>
              <w:lang w:val="en-US" w:eastAsia="zh-CN"/>
            </w:rPr>
            <w:t>.中央、市委部署深入贯彻中央八项规定精神学习教育工作</w:t>
          </w:r>
          <w:r>
            <w:rPr>
              <w:rFonts w:hint="eastAsia" w:ascii="方正仿宋_GBK" w:hAnsi="方正仿宋_GBK" w:eastAsia="方正仿宋_GBK" w:cs="方正仿宋_GBK"/>
              <w:sz w:val="24"/>
              <w:szCs w:val="24"/>
            </w:rPr>
            <w:tab/>
          </w:r>
          <w:r>
            <w:rPr>
              <w:rFonts w:hint="eastAsia" w:ascii="方正仿宋_GBK" w:hAnsi="方正仿宋_GBK" w:eastAsia="方正仿宋_GBK" w:cs="方正仿宋_GBK"/>
              <w:i w:val="0"/>
              <w:iCs w:val="0"/>
              <w:caps w:val="0"/>
              <w:color w:val="auto"/>
              <w:spacing w:val="0"/>
              <w:sz w:val="24"/>
              <w:szCs w:val="24"/>
              <w:shd w:val="clear" w:fill="FFFFFF"/>
            </w:rPr>
            <w:fldChar w:fldCharType="end"/>
          </w:r>
          <w:r>
            <w:rPr>
              <w:rFonts w:hint="eastAsia" w:ascii="方正仿宋_GBK" w:hAnsi="方正仿宋_GBK" w:eastAsia="方正仿宋_GBK" w:cs="方正仿宋_GBK"/>
              <w:i w:val="0"/>
              <w:iCs w:val="0"/>
              <w:caps w:val="0"/>
              <w:color w:val="auto"/>
              <w:spacing w:val="0"/>
              <w:sz w:val="24"/>
              <w:szCs w:val="24"/>
              <w:shd w:val="clear" w:fill="FFFFFF"/>
              <w:lang w:val="en-US" w:eastAsia="zh-CN"/>
            </w:rPr>
            <w:t>56</w:t>
          </w:r>
        </w:p>
        <w:p w14:paraId="6BC89C1D">
          <w:pPr>
            <w:pStyle w:val="7"/>
            <w:keepNext w:val="0"/>
            <w:keepLines w:val="0"/>
            <w:pageBreakBefore w:val="0"/>
            <w:widowControl w:val="0"/>
            <w:tabs>
              <w:tab w:val="right" w:leader="dot" w:pos="8306"/>
            </w:tabs>
            <w:kinsoku/>
            <w:wordWrap/>
            <w:overflowPunct/>
            <w:topLinePunct w:val="0"/>
            <w:autoSpaceDE/>
            <w:autoSpaceDN/>
            <w:bidi w:val="0"/>
            <w:adjustRightInd w:val="0"/>
            <w:snapToGrid w:val="0"/>
            <w:spacing w:line="560" w:lineRule="exact"/>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i w:val="0"/>
              <w:iCs w:val="0"/>
              <w:caps w:val="0"/>
              <w:color w:val="auto"/>
              <w:spacing w:val="0"/>
              <w:sz w:val="24"/>
              <w:szCs w:val="24"/>
              <w:shd w:val="clear" w:fill="FFFFFF"/>
            </w:rPr>
            <w:fldChar w:fldCharType="begin"/>
          </w:r>
          <w:r>
            <w:rPr>
              <w:rFonts w:hint="eastAsia" w:ascii="方正仿宋_GBK" w:hAnsi="方正仿宋_GBK" w:eastAsia="方正仿宋_GBK" w:cs="方正仿宋_GBK"/>
              <w:i w:val="0"/>
              <w:iCs w:val="0"/>
              <w:caps w:val="0"/>
              <w:spacing w:val="0"/>
              <w:sz w:val="24"/>
              <w:szCs w:val="24"/>
              <w:shd w:val="clear" w:fill="FFFFFF"/>
            </w:rPr>
            <w:instrText xml:space="preserve"> HYPERLINK \l _Toc28317 </w:instrText>
          </w:r>
          <w:r>
            <w:rPr>
              <w:rFonts w:hint="eastAsia" w:ascii="方正仿宋_GBK" w:hAnsi="方正仿宋_GBK" w:eastAsia="方正仿宋_GBK" w:cs="方正仿宋_GBK"/>
              <w:i w:val="0"/>
              <w:iCs w:val="0"/>
              <w:caps w:val="0"/>
              <w:spacing w:val="0"/>
              <w:sz w:val="24"/>
              <w:szCs w:val="24"/>
              <w:shd w:val="clear" w:fill="FFFFFF"/>
            </w:rPr>
            <w:fldChar w:fldCharType="separate"/>
          </w:r>
          <w:r>
            <w:rPr>
              <w:rFonts w:hint="eastAsia" w:ascii="方正仿宋_GBK" w:hAnsi="方正仿宋_GBK" w:eastAsia="方正仿宋_GBK" w:cs="方正仿宋_GBK"/>
              <w:sz w:val="24"/>
              <w:szCs w:val="24"/>
              <w:lang w:val="en-US" w:eastAsia="zh-CN"/>
            </w:rPr>
            <w:t>8.中国共产党第二十届中央纪律检查委员会第四次全体会议公报</w:t>
          </w:r>
          <w:r>
            <w:rPr>
              <w:rFonts w:hint="eastAsia" w:ascii="方正仿宋_GBK" w:hAnsi="方正仿宋_GBK" w:eastAsia="方正仿宋_GBK" w:cs="方正仿宋_GBK"/>
              <w:sz w:val="24"/>
              <w:szCs w:val="24"/>
            </w:rPr>
            <w:tab/>
          </w:r>
          <w:r>
            <w:rPr>
              <w:rFonts w:hint="eastAsia" w:ascii="方正仿宋_GBK" w:hAnsi="方正仿宋_GBK" w:eastAsia="方正仿宋_GBK" w:cs="方正仿宋_GBK"/>
              <w:sz w:val="24"/>
              <w:szCs w:val="24"/>
            </w:rPr>
            <w:fldChar w:fldCharType="begin"/>
          </w:r>
          <w:r>
            <w:rPr>
              <w:rFonts w:hint="eastAsia" w:ascii="方正仿宋_GBK" w:hAnsi="方正仿宋_GBK" w:eastAsia="方正仿宋_GBK" w:cs="方正仿宋_GBK"/>
              <w:sz w:val="24"/>
              <w:szCs w:val="24"/>
            </w:rPr>
            <w:instrText xml:space="preserve"> PAGEREF _Toc28317 \h </w:instrText>
          </w:r>
          <w:r>
            <w:rPr>
              <w:rFonts w:hint="eastAsia" w:ascii="方正仿宋_GBK" w:hAnsi="方正仿宋_GBK" w:eastAsia="方正仿宋_GBK" w:cs="方正仿宋_GBK"/>
              <w:sz w:val="24"/>
              <w:szCs w:val="24"/>
            </w:rPr>
            <w:fldChar w:fldCharType="separate"/>
          </w:r>
          <w:r>
            <w:rPr>
              <w:rFonts w:hint="eastAsia" w:ascii="方正仿宋_GBK" w:hAnsi="方正仿宋_GBK" w:eastAsia="方正仿宋_GBK" w:cs="方正仿宋_GBK"/>
              <w:sz w:val="24"/>
              <w:szCs w:val="24"/>
            </w:rPr>
            <w:t>58</w:t>
          </w:r>
          <w:r>
            <w:rPr>
              <w:rFonts w:hint="eastAsia" w:ascii="方正仿宋_GBK" w:hAnsi="方正仿宋_GBK" w:eastAsia="方正仿宋_GBK" w:cs="方正仿宋_GBK"/>
              <w:sz w:val="24"/>
              <w:szCs w:val="24"/>
            </w:rPr>
            <w:fldChar w:fldCharType="end"/>
          </w:r>
          <w:r>
            <w:rPr>
              <w:rFonts w:hint="eastAsia" w:ascii="方正仿宋_GBK" w:hAnsi="方正仿宋_GBK" w:eastAsia="方正仿宋_GBK" w:cs="方正仿宋_GBK"/>
              <w:i w:val="0"/>
              <w:iCs w:val="0"/>
              <w:caps w:val="0"/>
              <w:color w:val="auto"/>
              <w:spacing w:val="0"/>
              <w:sz w:val="24"/>
              <w:szCs w:val="24"/>
              <w:shd w:val="clear" w:fill="FFFFFF"/>
            </w:rPr>
            <w:fldChar w:fldCharType="end"/>
          </w:r>
        </w:p>
        <w:p w14:paraId="3FBAC3A6">
          <w:pPr>
            <w:pStyle w:val="7"/>
            <w:keepNext w:val="0"/>
            <w:keepLines w:val="0"/>
            <w:pageBreakBefore w:val="0"/>
            <w:widowControl w:val="0"/>
            <w:tabs>
              <w:tab w:val="right" w:leader="dot" w:pos="8306"/>
            </w:tabs>
            <w:kinsoku/>
            <w:wordWrap/>
            <w:overflowPunct/>
            <w:topLinePunct w:val="0"/>
            <w:autoSpaceDE/>
            <w:autoSpaceDN/>
            <w:bidi w:val="0"/>
            <w:adjustRightInd w:val="0"/>
            <w:snapToGrid w:val="0"/>
            <w:spacing w:line="560" w:lineRule="exact"/>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i w:val="0"/>
              <w:iCs w:val="0"/>
              <w:caps w:val="0"/>
              <w:color w:val="auto"/>
              <w:spacing w:val="0"/>
              <w:sz w:val="24"/>
              <w:szCs w:val="24"/>
              <w:shd w:val="clear" w:fill="FFFFFF"/>
            </w:rPr>
            <w:fldChar w:fldCharType="begin"/>
          </w:r>
          <w:r>
            <w:rPr>
              <w:rFonts w:hint="eastAsia" w:ascii="方正仿宋_GBK" w:hAnsi="方正仿宋_GBK" w:eastAsia="方正仿宋_GBK" w:cs="方正仿宋_GBK"/>
              <w:i w:val="0"/>
              <w:iCs w:val="0"/>
              <w:caps w:val="0"/>
              <w:spacing w:val="0"/>
              <w:sz w:val="24"/>
              <w:szCs w:val="24"/>
              <w:shd w:val="clear" w:fill="FFFFFF"/>
            </w:rPr>
            <w:instrText xml:space="preserve"> HYPERLINK \l _Toc18283 </w:instrText>
          </w:r>
          <w:r>
            <w:rPr>
              <w:rFonts w:hint="eastAsia" w:ascii="方正仿宋_GBK" w:hAnsi="方正仿宋_GBK" w:eastAsia="方正仿宋_GBK" w:cs="方正仿宋_GBK"/>
              <w:i w:val="0"/>
              <w:iCs w:val="0"/>
              <w:caps w:val="0"/>
              <w:spacing w:val="0"/>
              <w:sz w:val="24"/>
              <w:szCs w:val="24"/>
              <w:shd w:val="clear" w:fill="FFFFFF"/>
            </w:rPr>
            <w:fldChar w:fldCharType="separate"/>
          </w:r>
          <w:r>
            <w:rPr>
              <w:rFonts w:hint="eastAsia" w:ascii="方正仿宋_GBK" w:hAnsi="方正仿宋_GBK" w:eastAsia="方正仿宋_GBK" w:cs="方正仿宋_GBK"/>
              <w:sz w:val="24"/>
              <w:szCs w:val="24"/>
              <w:lang w:val="en-US" w:eastAsia="zh-CN"/>
            </w:rPr>
            <w:t>9.中共中央办公厅印发《全国党员教育培训工作规划（2024—2028年）》</w:t>
          </w:r>
          <w:r>
            <w:rPr>
              <w:rFonts w:hint="eastAsia" w:ascii="方正仿宋_GBK" w:hAnsi="方正仿宋_GBK" w:eastAsia="方正仿宋_GBK" w:cs="方正仿宋_GBK"/>
              <w:sz w:val="24"/>
              <w:szCs w:val="24"/>
            </w:rPr>
            <w:tab/>
          </w:r>
          <w:r>
            <w:rPr>
              <w:rFonts w:hint="eastAsia" w:ascii="方正仿宋_GBK" w:hAnsi="方正仿宋_GBK" w:eastAsia="方正仿宋_GBK" w:cs="方正仿宋_GBK"/>
              <w:sz w:val="24"/>
              <w:szCs w:val="24"/>
            </w:rPr>
            <w:fldChar w:fldCharType="begin"/>
          </w:r>
          <w:r>
            <w:rPr>
              <w:rFonts w:hint="eastAsia" w:ascii="方正仿宋_GBK" w:hAnsi="方正仿宋_GBK" w:eastAsia="方正仿宋_GBK" w:cs="方正仿宋_GBK"/>
              <w:sz w:val="24"/>
              <w:szCs w:val="24"/>
            </w:rPr>
            <w:instrText xml:space="preserve"> PAGEREF _Toc18283 \h </w:instrText>
          </w:r>
          <w:r>
            <w:rPr>
              <w:rFonts w:hint="eastAsia" w:ascii="方正仿宋_GBK" w:hAnsi="方正仿宋_GBK" w:eastAsia="方正仿宋_GBK" w:cs="方正仿宋_GBK"/>
              <w:sz w:val="24"/>
              <w:szCs w:val="24"/>
            </w:rPr>
            <w:fldChar w:fldCharType="separate"/>
          </w:r>
          <w:r>
            <w:rPr>
              <w:rFonts w:hint="eastAsia" w:ascii="方正仿宋_GBK" w:hAnsi="方正仿宋_GBK" w:eastAsia="方正仿宋_GBK" w:cs="方正仿宋_GBK"/>
              <w:sz w:val="24"/>
              <w:szCs w:val="24"/>
            </w:rPr>
            <w:t>65</w:t>
          </w:r>
          <w:r>
            <w:rPr>
              <w:rFonts w:hint="eastAsia" w:ascii="方正仿宋_GBK" w:hAnsi="方正仿宋_GBK" w:eastAsia="方正仿宋_GBK" w:cs="方正仿宋_GBK"/>
              <w:sz w:val="24"/>
              <w:szCs w:val="24"/>
            </w:rPr>
            <w:fldChar w:fldCharType="end"/>
          </w:r>
          <w:r>
            <w:rPr>
              <w:rFonts w:hint="eastAsia" w:ascii="方正仿宋_GBK" w:hAnsi="方正仿宋_GBK" w:eastAsia="方正仿宋_GBK" w:cs="方正仿宋_GBK"/>
              <w:i w:val="0"/>
              <w:iCs w:val="0"/>
              <w:caps w:val="0"/>
              <w:color w:val="auto"/>
              <w:spacing w:val="0"/>
              <w:sz w:val="24"/>
              <w:szCs w:val="24"/>
              <w:shd w:val="clear" w:fill="FFFFFF"/>
            </w:rPr>
            <w:fldChar w:fldCharType="end"/>
          </w:r>
        </w:p>
        <w:p w14:paraId="7BAC7825">
          <w:pPr>
            <w:pStyle w:val="7"/>
            <w:keepNext w:val="0"/>
            <w:keepLines w:val="0"/>
            <w:pageBreakBefore w:val="0"/>
            <w:widowControl w:val="0"/>
            <w:tabs>
              <w:tab w:val="right" w:leader="dot" w:pos="8306"/>
            </w:tabs>
            <w:kinsoku/>
            <w:wordWrap/>
            <w:overflowPunct/>
            <w:topLinePunct w:val="0"/>
            <w:autoSpaceDE/>
            <w:autoSpaceDN/>
            <w:bidi w:val="0"/>
            <w:adjustRightInd w:val="0"/>
            <w:snapToGrid w:val="0"/>
            <w:spacing w:line="560" w:lineRule="exact"/>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i w:val="0"/>
              <w:iCs w:val="0"/>
              <w:caps w:val="0"/>
              <w:color w:val="auto"/>
              <w:spacing w:val="0"/>
              <w:sz w:val="24"/>
              <w:szCs w:val="24"/>
              <w:shd w:val="clear" w:fill="FFFFFF"/>
            </w:rPr>
            <w:fldChar w:fldCharType="begin"/>
          </w:r>
          <w:r>
            <w:rPr>
              <w:rFonts w:hint="eastAsia" w:ascii="方正仿宋_GBK" w:hAnsi="方正仿宋_GBK" w:eastAsia="方正仿宋_GBK" w:cs="方正仿宋_GBK"/>
              <w:i w:val="0"/>
              <w:iCs w:val="0"/>
              <w:caps w:val="0"/>
              <w:spacing w:val="0"/>
              <w:sz w:val="24"/>
              <w:szCs w:val="24"/>
              <w:shd w:val="clear" w:fill="FFFFFF"/>
            </w:rPr>
            <w:instrText xml:space="preserve"> HYPERLINK \l _Toc17820 </w:instrText>
          </w:r>
          <w:r>
            <w:rPr>
              <w:rFonts w:hint="eastAsia" w:ascii="方正仿宋_GBK" w:hAnsi="方正仿宋_GBK" w:eastAsia="方正仿宋_GBK" w:cs="方正仿宋_GBK"/>
              <w:i w:val="0"/>
              <w:iCs w:val="0"/>
              <w:caps w:val="0"/>
              <w:spacing w:val="0"/>
              <w:sz w:val="24"/>
              <w:szCs w:val="24"/>
              <w:shd w:val="clear" w:fill="FFFFFF"/>
            </w:rPr>
            <w:fldChar w:fldCharType="separate"/>
          </w:r>
          <w:r>
            <w:rPr>
              <w:rFonts w:hint="eastAsia" w:ascii="方正仿宋_GBK" w:hAnsi="方正仿宋_GBK" w:eastAsia="方正仿宋_GBK" w:cs="方正仿宋_GBK"/>
              <w:sz w:val="24"/>
              <w:szCs w:val="24"/>
              <w:lang w:val="en-US" w:eastAsia="zh-CN"/>
            </w:rPr>
            <w:t>10.中共中央国务院印发《教育强国建设规划纲要（2024—2035年）》</w:t>
          </w:r>
          <w:r>
            <w:rPr>
              <w:rFonts w:hint="eastAsia" w:ascii="方正仿宋_GBK" w:hAnsi="方正仿宋_GBK" w:eastAsia="方正仿宋_GBK" w:cs="方正仿宋_GBK"/>
              <w:sz w:val="24"/>
              <w:szCs w:val="24"/>
            </w:rPr>
            <w:tab/>
          </w:r>
          <w:r>
            <w:rPr>
              <w:rFonts w:hint="eastAsia" w:ascii="方正仿宋_GBK" w:hAnsi="方正仿宋_GBK" w:eastAsia="方正仿宋_GBK" w:cs="方正仿宋_GBK"/>
              <w:sz w:val="24"/>
              <w:szCs w:val="24"/>
            </w:rPr>
            <w:fldChar w:fldCharType="begin"/>
          </w:r>
          <w:r>
            <w:rPr>
              <w:rFonts w:hint="eastAsia" w:ascii="方正仿宋_GBK" w:hAnsi="方正仿宋_GBK" w:eastAsia="方正仿宋_GBK" w:cs="方正仿宋_GBK"/>
              <w:sz w:val="24"/>
              <w:szCs w:val="24"/>
            </w:rPr>
            <w:instrText xml:space="preserve"> PAGEREF _Toc17820 \h </w:instrText>
          </w:r>
          <w:r>
            <w:rPr>
              <w:rFonts w:hint="eastAsia" w:ascii="方正仿宋_GBK" w:hAnsi="方正仿宋_GBK" w:eastAsia="方正仿宋_GBK" w:cs="方正仿宋_GBK"/>
              <w:sz w:val="24"/>
              <w:szCs w:val="24"/>
            </w:rPr>
            <w:fldChar w:fldCharType="separate"/>
          </w:r>
          <w:r>
            <w:rPr>
              <w:rFonts w:hint="eastAsia" w:ascii="方正仿宋_GBK" w:hAnsi="方正仿宋_GBK" w:eastAsia="方正仿宋_GBK" w:cs="方正仿宋_GBK"/>
              <w:sz w:val="24"/>
              <w:szCs w:val="24"/>
            </w:rPr>
            <w:t>74</w:t>
          </w:r>
          <w:r>
            <w:rPr>
              <w:rFonts w:hint="eastAsia" w:ascii="方正仿宋_GBK" w:hAnsi="方正仿宋_GBK" w:eastAsia="方正仿宋_GBK" w:cs="方正仿宋_GBK"/>
              <w:sz w:val="24"/>
              <w:szCs w:val="24"/>
            </w:rPr>
            <w:fldChar w:fldCharType="end"/>
          </w:r>
          <w:r>
            <w:rPr>
              <w:rFonts w:hint="eastAsia" w:ascii="方正仿宋_GBK" w:hAnsi="方正仿宋_GBK" w:eastAsia="方正仿宋_GBK" w:cs="方正仿宋_GBK"/>
              <w:i w:val="0"/>
              <w:iCs w:val="0"/>
              <w:caps w:val="0"/>
              <w:color w:val="auto"/>
              <w:spacing w:val="0"/>
              <w:sz w:val="24"/>
              <w:szCs w:val="24"/>
              <w:shd w:val="clear" w:fill="FFFFFF"/>
            </w:rPr>
            <w:fldChar w:fldCharType="end"/>
          </w:r>
        </w:p>
        <w:p w14:paraId="0669E8E1">
          <w:pPr>
            <w:pStyle w:val="7"/>
            <w:keepNext w:val="0"/>
            <w:keepLines w:val="0"/>
            <w:pageBreakBefore w:val="0"/>
            <w:widowControl w:val="0"/>
            <w:tabs>
              <w:tab w:val="right" w:leader="dot" w:pos="8306"/>
            </w:tabs>
            <w:kinsoku/>
            <w:wordWrap/>
            <w:overflowPunct/>
            <w:topLinePunct w:val="0"/>
            <w:autoSpaceDE/>
            <w:autoSpaceDN/>
            <w:bidi w:val="0"/>
            <w:adjustRightInd w:val="0"/>
            <w:snapToGrid w:val="0"/>
            <w:spacing w:line="560" w:lineRule="exact"/>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i w:val="0"/>
              <w:iCs w:val="0"/>
              <w:caps w:val="0"/>
              <w:color w:val="auto"/>
              <w:spacing w:val="0"/>
              <w:sz w:val="24"/>
              <w:szCs w:val="24"/>
              <w:shd w:val="clear" w:fill="FFFFFF"/>
            </w:rPr>
            <w:fldChar w:fldCharType="begin"/>
          </w:r>
          <w:r>
            <w:rPr>
              <w:rFonts w:hint="eastAsia" w:ascii="方正仿宋_GBK" w:hAnsi="方正仿宋_GBK" w:eastAsia="方正仿宋_GBK" w:cs="方正仿宋_GBK"/>
              <w:i w:val="0"/>
              <w:iCs w:val="0"/>
              <w:caps w:val="0"/>
              <w:spacing w:val="0"/>
              <w:sz w:val="24"/>
              <w:szCs w:val="24"/>
              <w:shd w:val="clear" w:fill="FFFFFF"/>
            </w:rPr>
            <w:instrText xml:space="preserve"> HYPERLINK \l _Toc22624 </w:instrText>
          </w:r>
          <w:r>
            <w:rPr>
              <w:rFonts w:hint="eastAsia" w:ascii="方正仿宋_GBK" w:hAnsi="方正仿宋_GBK" w:eastAsia="方正仿宋_GBK" w:cs="方正仿宋_GBK"/>
              <w:i w:val="0"/>
              <w:iCs w:val="0"/>
              <w:caps w:val="0"/>
              <w:spacing w:val="0"/>
              <w:sz w:val="24"/>
              <w:szCs w:val="24"/>
              <w:shd w:val="clear" w:fill="FFFFFF"/>
            </w:rPr>
            <w:fldChar w:fldCharType="separate"/>
          </w:r>
          <w:r>
            <w:rPr>
              <w:rFonts w:hint="eastAsia" w:ascii="方正仿宋_GBK" w:hAnsi="方正仿宋_GBK" w:eastAsia="方正仿宋_GBK" w:cs="方正仿宋_GBK"/>
              <w:sz w:val="24"/>
              <w:szCs w:val="24"/>
              <w:lang w:val="en-US" w:eastAsia="zh-CN"/>
            </w:rPr>
            <w:t>11.袁家军：突出干字当头唯实争先推动现代化新重庆建设取得新成效迈上新台阶</w:t>
          </w:r>
          <w:r>
            <w:rPr>
              <w:rFonts w:hint="eastAsia" w:ascii="方正仿宋_GBK" w:hAnsi="方正仿宋_GBK" w:eastAsia="方正仿宋_GBK" w:cs="方正仿宋_GBK"/>
              <w:sz w:val="24"/>
              <w:szCs w:val="24"/>
            </w:rPr>
            <w:tab/>
          </w:r>
          <w:r>
            <w:rPr>
              <w:rFonts w:hint="eastAsia" w:ascii="方正仿宋_GBK" w:hAnsi="方正仿宋_GBK" w:eastAsia="方正仿宋_GBK" w:cs="方正仿宋_GBK"/>
              <w:sz w:val="24"/>
              <w:szCs w:val="24"/>
            </w:rPr>
            <w:fldChar w:fldCharType="begin"/>
          </w:r>
          <w:r>
            <w:rPr>
              <w:rFonts w:hint="eastAsia" w:ascii="方正仿宋_GBK" w:hAnsi="方正仿宋_GBK" w:eastAsia="方正仿宋_GBK" w:cs="方正仿宋_GBK"/>
              <w:sz w:val="24"/>
              <w:szCs w:val="24"/>
            </w:rPr>
            <w:instrText xml:space="preserve"> PAGEREF _Toc22624 \h </w:instrText>
          </w:r>
          <w:r>
            <w:rPr>
              <w:rFonts w:hint="eastAsia" w:ascii="方正仿宋_GBK" w:hAnsi="方正仿宋_GBK" w:eastAsia="方正仿宋_GBK" w:cs="方正仿宋_GBK"/>
              <w:sz w:val="24"/>
              <w:szCs w:val="24"/>
            </w:rPr>
            <w:fldChar w:fldCharType="separate"/>
          </w:r>
          <w:r>
            <w:rPr>
              <w:rFonts w:hint="eastAsia" w:ascii="方正仿宋_GBK" w:hAnsi="方正仿宋_GBK" w:eastAsia="方正仿宋_GBK" w:cs="方正仿宋_GBK"/>
              <w:sz w:val="24"/>
              <w:szCs w:val="24"/>
            </w:rPr>
            <w:t>90</w:t>
          </w:r>
          <w:r>
            <w:rPr>
              <w:rFonts w:hint="eastAsia" w:ascii="方正仿宋_GBK" w:hAnsi="方正仿宋_GBK" w:eastAsia="方正仿宋_GBK" w:cs="方正仿宋_GBK"/>
              <w:sz w:val="24"/>
              <w:szCs w:val="24"/>
            </w:rPr>
            <w:fldChar w:fldCharType="end"/>
          </w:r>
          <w:r>
            <w:rPr>
              <w:rFonts w:hint="eastAsia" w:ascii="方正仿宋_GBK" w:hAnsi="方正仿宋_GBK" w:eastAsia="方正仿宋_GBK" w:cs="方正仿宋_GBK"/>
              <w:i w:val="0"/>
              <w:iCs w:val="0"/>
              <w:caps w:val="0"/>
              <w:color w:val="auto"/>
              <w:spacing w:val="0"/>
              <w:sz w:val="24"/>
              <w:szCs w:val="24"/>
              <w:shd w:val="clear" w:fill="FFFFFF"/>
            </w:rPr>
            <w:fldChar w:fldCharType="end"/>
          </w:r>
        </w:p>
        <w:p w14:paraId="3A90418F">
          <w:pPr>
            <w:pStyle w:val="7"/>
            <w:keepNext w:val="0"/>
            <w:keepLines w:val="0"/>
            <w:pageBreakBefore w:val="0"/>
            <w:widowControl w:val="0"/>
            <w:tabs>
              <w:tab w:val="right" w:leader="dot" w:pos="8306"/>
            </w:tabs>
            <w:kinsoku/>
            <w:wordWrap/>
            <w:overflowPunct/>
            <w:topLinePunct w:val="0"/>
            <w:autoSpaceDE/>
            <w:autoSpaceDN/>
            <w:bidi w:val="0"/>
            <w:adjustRightInd w:val="0"/>
            <w:snapToGrid w:val="0"/>
            <w:spacing w:line="560" w:lineRule="exact"/>
            <w:textAlignment w:val="auto"/>
            <w:rPr>
              <w:rStyle w:val="11"/>
              <w:rFonts w:hint="eastAsia" w:ascii="方正仿宋_GBK" w:hAnsi="方正仿宋_GBK" w:eastAsia="方正仿宋_GBK" w:cs="方正仿宋_GBK"/>
              <w:i w:val="0"/>
              <w:iCs w:val="0"/>
              <w:caps w:val="0"/>
              <w:color w:val="auto"/>
              <w:spacing w:val="0"/>
              <w:sz w:val="32"/>
              <w:szCs w:val="32"/>
              <w:shd w:val="clear" w:fill="FFFFFF"/>
            </w:rPr>
            <w:sectPr>
              <w:pgSz w:w="11906" w:h="16838"/>
              <w:pgMar w:top="1440" w:right="1800" w:bottom="1440" w:left="1800" w:header="851" w:footer="992" w:gutter="0"/>
              <w:pgNumType w:fmt="numberInDash"/>
              <w:cols w:space="425" w:num="1"/>
              <w:docGrid w:type="lines" w:linePitch="312" w:charSpace="0"/>
            </w:sectPr>
          </w:pPr>
          <w:r>
            <w:rPr>
              <w:rFonts w:hint="eastAsia" w:ascii="方正仿宋_GBK" w:hAnsi="方正仿宋_GBK" w:eastAsia="方正仿宋_GBK" w:cs="方正仿宋_GBK"/>
              <w:i w:val="0"/>
              <w:iCs w:val="0"/>
              <w:caps w:val="0"/>
              <w:color w:val="auto"/>
              <w:spacing w:val="0"/>
              <w:sz w:val="24"/>
              <w:szCs w:val="24"/>
              <w:shd w:val="clear" w:fill="FFFFFF"/>
            </w:rPr>
            <w:fldChar w:fldCharType="end"/>
          </w:r>
        </w:p>
      </w:sdtContent>
    </w:sdt>
    <w:p w14:paraId="46443FBF">
      <w:pPr>
        <w:pStyle w:val="2"/>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hint="eastAsia"/>
          <w:lang w:val="en-US" w:eastAsia="zh-CN"/>
        </w:rPr>
      </w:pPr>
      <w:bookmarkStart w:id="0" w:name="_Toc6427"/>
      <w:bookmarkStart w:id="1" w:name="_Toc11983"/>
      <w:bookmarkStart w:id="2" w:name="_Toc4773"/>
      <w:r>
        <w:rPr>
          <w:rFonts w:hint="eastAsia"/>
          <w:lang w:val="en-US" w:eastAsia="zh-CN"/>
        </w:rPr>
        <w:t>1.习近平：坚持用改革精神和严的标准管党治党 坚决打好反腐败斗争攻坚战持久战总体战</w:t>
      </w:r>
      <w:bookmarkEnd w:id="0"/>
    </w:p>
    <w:p w14:paraId="16CE5D60">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center"/>
        <w:textAlignment w:val="auto"/>
        <w:outlineLvl w:val="9"/>
        <w:rPr>
          <w:rFonts w:hint="eastAsia" w:ascii="方正楷体_GBK" w:hAnsi="方正楷体_GBK" w:eastAsia="方正楷体_GBK" w:cs="方正楷体_GBK"/>
          <w:sz w:val="32"/>
          <w:szCs w:val="32"/>
          <w:lang w:val="en-US" w:eastAsia="zh-CN"/>
        </w:rPr>
      </w:pPr>
    </w:p>
    <w:p w14:paraId="580FA412">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center"/>
        <w:textAlignment w:val="auto"/>
        <w:outlineLvl w:val="9"/>
        <w:rPr>
          <w:rFonts w:hint="eastAsia" w:ascii="方正楷体_GBK" w:hAnsi="方正楷体_GBK" w:eastAsia="方正楷体_GBK" w:cs="方正楷体_GBK"/>
          <w:sz w:val="32"/>
          <w:szCs w:val="32"/>
          <w:lang w:val="en-US" w:eastAsia="zh-CN"/>
        </w:rPr>
      </w:pPr>
      <w:r>
        <w:rPr>
          <w:rFonts w:hint="eastAsia" w:ascii="方正黑体_GBK" w:hAnsi="方正黑体_GBK" w:eastAsia="方正黑体_GBK" w:cs="方正黑体_GBK"/>
          <w:sz w:val="32"/>
          <w:szCs w:val="32"/>
          <w:lang w:val="en-US" w:eastAsia="zh-CN"/>
        </w:rPr>
        <w:t>习近平在二十届中央纪委四次全会上发表重要讲话强调 坚持用改革精神和严的标准管党治党 坚决打好反腐败斗争攻坚战持久战总体战</w:t>
      </w:r>
    </w:p>
    <w:p w14:paraId="51000EA2">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楷体_GBK" w:hAnsi="方正楷体_GBK" w:eastAsia="方正楷体_GBK" w:cs="方正楷体_GBK"/>
          <w:sz w:val="32"/>
          <w:szCs w:val="32"/>
          <w:lang w:val="en-US" w:eastAsia="zh-CN"/>
        </w:rPr>
      </w:pPr>
    </w:p>
    <w:p w14:paraId="7909120F">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中共中央总书记、国家主席、中央军委主席习近平1月6日上午在中国共产党第二十届中央纪律检查委员会第四次全体会议上发表重要讲话。他强调，新时代以来，推进全面从严治党和反腐败斗争力度之大前所未有，成效有目共睹。要始终保持反腐败永远在路上的坚韧执着，保持战略定力和高压态势，一步不停歇、半步不退让，一体推进不敢腐、不能腐、不想腐，坚决打好这场攻坚战、持久战、总体战。</w:t>
      </w:r>
    </w:p>
    <w:p w14:paraId="6C2A8E42">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中共中央政治局常委李强、赵乐际、王沪宁、蔡奇、丁薛祥出席会议。中共中央政治局常委、中央纪律检查委员会书记李希主持会议。</w:t>
      </w:r>
    </w:p>
    <w:p w14:paraId="4273C55D">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习近平指出，2024年，党中央坚持以党的自我革命引领社会革命，一以贯之推进全面从严治党，取得新的进展和成效。全党在自我革命这一重大问题上认识更加清醒、行动更加坚定；扎实开展党纪学习教育，全党同志遵规守纪意识明显增强；持续加大反腐败力度，铲除腐败滋生的土壤和条件；深入开展群众身边不正之风和腐败问题集中整治，解决了一大批群众反映强烈的突出问题；深化制度治党、依规治党，进一步提高了党领导反腐败斗争、推进全面从严治党的能力。</w:t>
      </w:r>
    </w:p>
    <w:p w14:paraId="5F57C090">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习近平强调，腐败是我们党面临的最大威胁，反腐败是最彻底的自我革命。进入新时代，面对党内党风廉政建设和反腐败斗争的突出问题，我们坚持有腐必反、有贪必肃，不断纯洁干部队伍，维护了党的形象，巩固了红色江山，赢得了确保党不变质、不变色、不变味的历史主动，赢得了党团结带领全体人民为强国建设、民族复兴伟业共同奋斗的历史主动。</w:t>
      </w:r>
    </w:p>
    <w:p w14:paraId="4E85DD14">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习近平指出，当前反腐败斗争形势仍然严峻复杂。腐败存量尚未清除，增量还在持续发生，铲除腐败滋生土壤和条件任务仍然艰巨繁重。认识反腐败斗争，一定要有历史眼光、战略高度，着眼于实现党的使命任务。反腐败斗争必须坚定不移，任何犹豫动摇、松懈手软或半途而废，都将犯颠覆性错误。要坚决澄清各种错误认识，廓清思想迷雾，进一步坚定反腐败斗争的决心和信心。</w:t>
      </w:r>
    </w:p>
    <w:p w14:paraId="3174107C">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习近平强调，新时代新征程，必须坚持用改革精神和严的标准管党治党，努力取得更大成效，确保党的二十大和二十届三中全会部署落地落实，确保党始终成为中国特色社会主义事业的坚强领导核心，推动中国式现代化行稳致远。</w:t>
      </w:r>
    </w:p>
    <w:p w14:paraId="65D50563">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习近平指出，要推进政治监督具体化、精准化、常态化。同党中央保持高度一致必须说到做到。思想上，要坚持不懈强化党的创新理论武装，准确把握党中央对本地区本部门本领域改革发展的目标定位和部署要求，确保思想统一、方向一致。政治上，要坚持党中央集中统一领导，严明政治纪律和政治规矩，决不允许搞“七个有之”，确保言行一致、令行禁止。行动上，要坚持把党中央各项决策部署落实情况作为政治监督重点，合力推动改革攻坚、促进高质量发展。</w:t>
      </w:r>
    </w:p>
    <w:p w14:paraId="694912DB">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习近平强调，加强党的纪律建设是一项经常性工作，要引导党员、干部把他律转化为自律，内化为日用而不觉的言行准则。建立常态化长效化的纪律教育机制，使纪律教育贯穿干部成长全周期、融入组织管理全过程。严格执行党的纪律，准确运用“四种形态”，实事求是、毋枉毋纵，抓早抓小、防微杜渐，把从严管理监督和鼓励担当作为统一起来，使干部在遵规守纪中改革创新、干事创业。</w:t>
      </w:r>
    </w:p>
    <w:p w14:paraId="5442E68D">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习近平指出，要深入推进风腐同查同治。始终坚持零容忍，把中央八项规定作为铁规矩、硬杠杠，严肃查处顶风违纪、隐形变异的“四风”问题，督促党员、干部坚决反对特权思想和特权现象，树牢正确权力观、政绩观、事业观。始终保持反腐败高压态势，对重点问题、重点领域、重点对象着重抓、着力查，深化受贿行贿一起查，坚决清除系统性腐败风险隐患。增强以案促改促治实效，推动完善权力配置运行的制约和监督机制，丰富防治新型腐败和隐性腐败有效办法。坚持正风肃纪反腐相贯通，以“同查”严惩风腐交织问题，以“同治”铲除风腐共性根源。</w:t>
      </w:r>
    </w:p>
    <w:p w14:paraId="7A4C67FA">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习近平强调，要强化全面从严治党主体责任和监督责任。党委要主动抓、主动管，纪委要把专责监督履行好，聚焦主责、干好主业，各责任主体都要知责、担责、履责。要优化责任落实考评机制，对失职失责精准科学问责。</w:t>
      </w:r>
    </w:p>
    <w:p w14:paraId="7A369293">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习近平指出，要持续推动全面从严治党向基层延伸。各级党委特别是市县党委要把整治群众身边不正之风和腐败问题作为重要任务常态化地抓，让老百姓可感可及。要深化基层监督体制机制改革，把纪检监察同对基层巡察结合起来、同各方面监督统筹起来。落实整治形式主义为基层减负长效机制，让广大基层干部有更多精力抓落实。</w:t>
      </w:r>
    </w:p>
    <w:p w14:paraId="62366C16">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习近平强调，纪检监察机关是推进党的自我革命的重要力量，党和人民对这支队伍充分信任、充满期待。要深化纪检监察体制改革，坚持授权和控权相结合，把权力关进制度的笼子。要着力加强纪检监察工作规范化法治化正规化建设，不断提高正风肃纪反腐能力。要巩固拓展主题教育和教育整顿成果，坚持打铁必须自身硬，强化严格管理监督，打造忠诚干净担当、敢于善于斗争的纪检监察铁军。</w:t>
      </w:r>
    </w:p>
    <w:p w14:paraId="5937D13B">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李希在主持会议时指出，习近平总书记的重要讲话，充分肯定过去一年全面从严治党新进展新成效，以高远的历史眼光深刻把握反腐败斗争基本规律，深刻分析当前反腐败斗争形势，对坚决打好反腐败斗争攻坚战、持久战、总体战提出明确要求，对深入推进全面从严治党作出战略部署。讲话高瞻远瞩、思想深邃、直面问题、振聋发聩，为深入推进全面从严治党和反腐败斗争提供了重要遵循。要深入学习贯彻习近平总书记重要讲话精神，深刻领悟“两个确立”的决定性意义，增强“四个意识”、坚定“四个自信”、做到“两个维护”，坚定信心、敢于斗争，认真履行全面从严治党政治责任，一体推进不敢腐、不能腐、不想腐，坚定不移把反腐败斗争向纵深推进。</w:t>
      </w:r>
    </w:p>
    <w:p w14:paraId="433CEF2D">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中共中央政治局委员、中央书记处书记，全国人大常委会有关领导同志，国务委员，最高人民法院院长，最高人民检察院检察长，全国政协有关领导同志以及中央军委委员出席会议。</w:t>
      </w:r>
    </w:p>
    <w:p w14:paraId="421E5289">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中央纪律检查委员会委员，中央和国家机关各部门、各人民团体、军队有关单位主要负责同志等参加会议。会议以电视电话会议形式举行，各省、自治区、直辖市和新疆生产建设兵团以及军队有关单位设分会场。</w:t>
      </w:r>
    </w:p>
    <w:p w14:paraId="78592858">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中国共产党第二十届中央纪律检查委员会第四次全体会议于1月6日在北京开幕。中央纪律检查委员会常务委员会主持会议。6日下午李希代表中央纪律检查委员会常务委员会作题为《深入推进党风廉政建设和反腐败斗争，以全面从严治党新成效为推进中国式现代化提供坚强保障》的工作报告。</w:t>
      </w:r>
    </w:p>
    <w:p w14:paraId="02A43903">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p>
    <w:p w14:paraId="53643E0C">
      <w:pPr>
        <w:pStyle w:val="2"/>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lang w:val="en-US" w:eastAsia="zh-CN"/>
        </w:rPr>
        <w:sectPr>
          <w:footerReference r:id="rId3" w:type="default"/>
          <w:pgSz w:w="11906" w:h="16838"/>
          <w:pgMar w:top="1984" w:right="1474" w:bottom="1644" w:left="1474" w:header="851" w:footer="992" w:gutter="0"/>
          <w:pgNumType w:fmt="numberInDash" w:start="1"/>
          <w:cols w:space="0" w:num="1"/>
          <w:rtlGutter w:val="0"/>
          <w:docGrid w:type="lines" w:linePitch="312" w:charSpace="0"/>
        </w:sectPr>
      </w:pPr>
      <w:bookmarkStart w:id="3" w:name="_Toc5350"/>
      <w:bookmarkStart w:id="4" w:name="_Toc2996"/>
      <w:bookmarkStart w:id="5" w:name="_Toc1985"/>
      <w:r>
        <w:rPr>
          <w:rFonts w:hint="eastAsia" w:ascii="方正仿宋_GBK" w:hAnsi="方正仿宋_GBK" w:eastAsia="方正仿宋_GBK" w:cs="方正仿宋_GBK"/>
          <w:color w:val="auto"/>
          <w:sz w:val="32"/>
          <w:szCs w:val="32"/>
          <w:lang w:val="en-US" w:eastAsia="zh-CN"/>
        </w:rPr>
        <w:t>发布时间：2025年01月06日18:41 来源：新华社</w:t>
      </w:r>
      <w:bookmarkEnd w:id="3"/>
      <w:bookmarkEnd w:id="4"/>
      <w:bookmarkEnd w:id="5"/>
    </w:p>
    <w:p w14:paraId="456A9D9E">
      <w:pPr>
        <w:pStyle w:val="2"/>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lang w:val="en-US" w:eastAsia="zh-CN"/>
        </w:rPr>
      </w:pPr>
      <w:bookmarkStart w:id="6" w:name="_Toc21390"/>
      <w:r>
        <w:rPr>
          <w:rFonts w:hint="eastAsia"/>
          <w:lang w:val="en-US" w:eastAsia="zh-CN"/>
        </w:rPr>
        <w:t>2.习近平：进一步全面深化改革中的几个重大理论和实践问题</w:t>
      </w:r>
      <w:bookmarkEnd w:id="6"/>
    </w:p>
    <w:p w14:paraId="5B64151F">
      <w:pPr>
        <w:keepNext w:val="0"/>
        <w:keepLines w:val="0"/>
        <w:pageBreakBefore w:val="0"/>
        <w:widowControl w:val="0"/>
        <w:kinsoku/>
        <w:wordWrap/>
        <w:overflowPunct/>
        <w:topLinePunct w:val="0"/>
        <w:autoSpaceDE/>
        <w:autoSpaceDN/>
        <w:bidi w:val="0"/>
        <w:adjustRightInd w:val="0"/>
        <w:snapToGrid w:val="0"/>
        <w:spacing w:line="560" w:lineRule="exact"/>
        <w:ind w:right="0"/>
        <w:jc w:val="center"/>
        <w:textAlignment w:val="auto"/>
        <w:outlineLvl w:val="9"/>
        <w:rPr>
          <w:rFonts w:hint="eastAsia" w:ascii="方正黑体_GBK" w:hAnsi="方正黑体_GBK" w:eastAsia="方正黑体_GBK" w:cs="方正黑体_GBK"/>
          <w:color w:val="auto"/>
          <w:sz w:val="32"/>
          <w:szCs w:val="32"/>
          <w:lang w:val="en-US" w:eastAsia="zh-CN"/>
        </w:rPr>
      </w:pPr>
    </w:p>
    <w:p w14:paraId="0A88C777">
      <w:pPr>
        <w:keepNext w:val="0"/>
        <w:keepLines w:val="0"/>
        <w:pageBreakBefore w:val="0"/>
        <w:widowControl w:val="0"/>
        <w:kinsoku/>
        <w:wordWrap/>
        <w:overflowPunct/>
        <w:topLinePunct w:val="0"/>
        <w:autoSpaceDE/>
        <w:autoSpaceDN/>
        <w:bidi w:val="0"/>
        <w:adjustRightInd w:val="0"/>
        <w:snapToGrid w:val="0"/>
        <w:spacing w:line="560" w:lineRule="exact"/>
        <w:ind w:right="0"/>
        <w:jc w:val="center"/>
        <w:textAlignment w:val="auto"/>
        <w:outlineLvl w:val="9"/>
        <w:rPr>
          <w:rFonts w:hint="eastAsia" w:ascii="方正黑体_GBK" w:hAnsi="方正黑体_GBK" w:eastAsia="方正黑体_GBK" w:cs="方正黑体_GBK"/>
          <w:color w:val="auto"/>
          <w:sz w:val="32"/>
          <w:szCs w:val="32"/>
          <w:lang w:val="en-US" w:eastAsia="zh-CN"/>
        </w:rPr>
      </w:pPr>
      <w:r>
        <w:rPr>
          <w:rFonts w:hint="eastAsia" w:ascii="方正黑体_GBK" w:hAnsi="方正黑体_GBK" w:eastAsia="方正黑体_GBK" w:cs="方正黑体_GBK"/>
          <w:color w:val="auto"/>
          <w:sz w:val="32"/>
          <w:szCs w:val="32"/>
          <w:lang w:val="en-US" w:eastAsia="zh-CN"/>
        </w:rPr>
        <w:t>进一步全面深化改革中的几个重大理论和实践问题※</w:t>
      </w:r>
    </w:p>
    <w:p w14:paraId="2BE2C79D">
      <w:pPr>
        <w:keepNext w:val="0"/>
        <w:keepLines w:val="0"/>
        <w:pageBreakBefore w:val="0"/>
        <w:widowControl w:val="0"/>
        <w:kinsoku/>
        <w:wordWrap/>
        <w:overflowPunct/>
        <w:topLinePunct w:val="0"/>
        <w:autoSpaceDE/>
        <w:autoSpaceDN/>
        <w:bidi w:val="0"/>
        <w:adjustRightInd w:val="0"/>
        <w:snapToGrid w:val="0"/>
        <w:spacing w:line="560" w:lineRule="exact"/>
        <w:ind w:right="0"/>
        <w:jc w:val="center"/>
        <w:textAlignment w:val="auto"/>
        <w:outlineLvl w:val="9"/>
        <w:rPr>
          <w:rFonts w:hint="eastAsia" w:ascii="方正黑体_GBK" w:hAnsi="方正黑体_GBK" w:eastAsia="方正黑体_GBK" w:cs="方正黑体_GBK"/>
          <w:color w:val="auto"/>
          <w:sz w:val="32"/>
          <w:szCs w:val="32"/>
          <w:lang w:val="en-US" w:eastAsia="zh-CN"/>
        </w:rPr>
      </w:pPr>
      <w:r>
        <w:rPr>
          <w:rFonts w:hint="eastAsia" w:ascii="方正黑体_GBK" w:hAnsi="方正黑体_GBK" w:eastAsia="方正黑体_GBK" w:cs="方正黑体_GBK"/>
          <w:color w:val="auto"/>
          <w:sz w:val="32"/>
          <w:szCs w:val="32"/>
          <w:lang w:val="en-US" w:eastAsia="zh-CN"/>
        </w:rPr>
        <w:t>习近平</w:t>
      </w:r>
    </w:p>
    <w:p w14:paraId="5E932420">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outlineLvl w:val="9"/>
        <w:rPr>
          <w:rFonts w:hint="eastAsia" w:ascii="方正仿宋_GBK" w:hAnsi="方正仿宋_GBK" w:eastAsia="方正仿宋_GBK" w:cs="方正仿宋_GBK"/>
          <w:color w:val="auto"/>
          <w:sz w:val="32"/>
          <w:szCs w:val="32"/>
          <w:lang w:val="en-US" w:eastAsia="zh-CN"/>
        </w:rPr>
      </w:pPr>
    </w:p>
    <w:p w14:paraId="6EE3CEBF">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党中央举办这次省部级主要领导干部学习贯彻党的二十届三中全会精神专题研讨班，是为了进一步统一思想和行动，推动全会精神更好贯彻落实。下面，我就进一步全面深化改革中的几个重大理论和实践问题，讲一些意见。</w:t>
      </w:r>
    </w:p>
    <w:p w14:paraId="48ED9CA8">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一、新时代全面深化改革取得历史性成就</w:t>
      </w:r>
    </w:p>
    <w:p w14:paraId="206E3E5D">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党的十八届三中全会开启了新时代全面深化改革、系统整体设计推进改革新征程，开创了我国改革开放全新局面，具有划时代意义。新时代全面深化改革取得了重大实践成果、制度成果、理论成果，举世瞩目，影响深远。</w:t>
      </w:r>
    </w:p>
    <w:p w14:paraId="16087D7E">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新时代全面深化改革取得重大实践成果。我们向改革要动力，以改革激活力、聚合力。新发展理念是在改革中形成的，影响和制约高质量发展的思想观念和体制机制弊端是在改革中破除的，经济发展质的有效提升和量的合理增长也是在改革中逐步实现的。正是通过全面深化改革，我国经济实力、科技实力、综合国力跃上了新台阶，国内生产总值从2012年的54万亿元增长到2023年的126万亿元，经济总量占世界经济的比重由11.3%上升到18%左右，稳居世界第二位，对世界经济增长的年均贡献率超过30%；人均国内生产总值达到12680美元。科技创新能力显著提升，进入创新型国家行列。我们打赢脱贫攻坚战，历史性地解决了绝对贫困问题；建成世界上规模最大的教育体系、社会保障体系、医疗卫生体系，推动全体人民共同富裕迈出坚实步伐，人民生活品质不断提高，人民群众的获得感、幸福感、安全感不断增强。正是通过全面深化改革，我国在法治建设、生态文明建设、国家安全建设、国防和军队建设等领域均取得了重大成果。</w:t>
      </w:r>
    </w:p>
    <w:p w14:paraId="0BE517B6">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新时代全面深化改革取得重大制度成果。我们把全面深化改革的总目标确立为完善和发展中国特色社会主义制度、推进国家治理体系和治理能力现代化，着力固根基、扬优势、补短板、强弱项，持续巩固和发展我国社会主义制度的显著优势，提高制度竞争力。我们不断丰富和拓展制度内容、优化制度结构、完善制度体系，我国根本制度、基本制度、重要制度更加完善，特别是把党的领导制度确立为国家的根本领导制度，系统完备、科学规范、运行有效的制度体系日渐成熟定型。我们强化制度执行，着力把制度优势转化为国家治理效能。这些都不仅是为当下计，更是为国家长治久安谋。</w:t>
      </w:r>
    </w:p>
    <w:p w14:paraId="0A12C812">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新时代全面深化改革取得重大理论成果。新时代全面深化改革是在我国改革进入攻坚期和深水区的背景下谋划并推进的，呈现出涉及范围广、触及利益深、攻坚难度大、关联性联动性强等突出特点。我们在改革中不断推进理论创新，科学把握改革面临的时与势、危与机，及时总结新鲜经验，不断深化对改革的规律性认识，形成关于全面深化改革的一系列新思想、新观点、新论断。比如，强调改革必须坚持党的领导；强调改革必须坚持以人民为中心；强调改革必须坚持守正创新，既不走封闭僵化的老路，也不走改旗易帜的邪路；强调改革必须坚持完善和发展中国特色社会主义制度、推进国家治理体系和治理能力现代化的总目标；强调改革必须坚持问题导向；强调必须坚持以经济体制改革为牵引；强调必须在法治轨道上推进改革；强调必须把顶层设计和摸着石头过河结合起来；强调必须正确处理改革发展稳定的关系，等等。全会《决定》明确的“六个坚持”的重大原则，就是从这些新思想、新观点、新论断中凝练出来的。这些理论成果，为进一步全面深化改革提供了重要遵循。</w:t>
      </w:r>
    </w:p>
    <w:p w14:paraId="4B07A9FA">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总之，新时代全面深化改革是我国改革开放历史进程中最壮丽的篇章之一，为全面建成小康社会、续写“两大奇迹”提供了强大动力和制度保障，也为新征程进一步全面深化改革提供了坚实基础和宝贵经验。</w:t>
      </w:r>
    </w:p>
    <w:p w14:paraId="6B33D02B">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二、进一步全面深化改革必须坚持守正创新</w:t>
      </w:r>
    </w:p>
    <w:p w14:paraId="6BDD0EB3">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坚持守正创新是进一步全面深化改革必须牢牢把握、始终坚守的重大原则。守正和创新是辩证统一的，只有守正才能保证创新始终沿着正确方向前进，只有持续创新才能更好地守正。</w:t>
      </w:r>
    </w:p>
    <w:p w14:paraId="46D3FED2">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改革不是改旗易帜。我多次讲，我们的改革是有方向、有原则的。坚持党的全面领导、坚持马克思主义、坚持中国特色社会主义、坚持人民民主专政，以促进社会公平正义、增进人民福祉为出发点和落脚点，这些都是管根本、管方向、管长远的，体现党的性质和宗旨，符合我国国情，符合人民根本利益，任何时候任何情况下都不能有丝毫动摇。因此，我们要坚持完善和发展中国特色社会主义制度、推进国家治理体系和治理能力现代化的改革总目标，始终朝着总目标指引的方向前进，该改的坚决改，不该改的不改。</w:t>
      </w:r>
    </w:p>
    <w:p w14:paraId="23FC11EC">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新时代新征程党和国家的中心任务是以中国式现代化全面推进强国建设、民族复兴伟业，进一步全面深化改革必须紧紧围绕这一中心任务来进行。我们要以一往无前的胆魄和勇气，顺应时代发展新趋势、实践发展新要求、人民群众新期待，大力推进理论创新、实践创新、制度创新、文化创新以及其他各方面创新，为中国式现代化提供强大动力和制度保障。</w:t>
      </w:r>
    </w:p>
    <w:p w14:paraId="66DB5ADE">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要突出经济体制改革这个重点。坚持社会主义市场经济的改革方向，着眼充分发挥市场在资源配置中的决定性作用、更好发挥政府作用，加快构建全国统一大市场，加快健全宏观经济治理体系；坚持和落实“两个毫不动摇”，为各种所有制经济发展提供公平公正的法治环境；坚决破除影响和制约高质量发展的体制机制弊端，完善与新质生产力更相适应的生产关系，塑造发展新动能新优势；坚决打通影响和制约全面创新的卡点堵点，统筹推进教育科技人才体制机制一体改革，牢牢掌握新一轮科技革命和产业变革的战略主动。</w:t>
      </w:r>
    </w:p>
    <w:p w14:paraId="7A6FB3B1">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要全面协调推进各方面改革。中国式现代化的内涵十分丰富，进一步全面深化改革也必然是全方位的。全会《决定》坚持系统思维，在统筹推进“五位一体”总体布局、协调推进“四个全面”战略布局框架下谋划和部署改革举措，不仅突出了经济体制改革的内容，也全面涵盖了民主、法治、文化、社会、生态文明、国家安全、国防和军队建设等方面的体制机制创新以及党的建设制度改革，要全面贯彻落实，力求形成整体效能，既不能单打一，也不能顾此失彼。</w:t>
      </w:r>
    </w:p>
    <w:p w14:paraId="2CEAB607">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三、坚持用科学方法指导和推进改革</w:t>
      </w:r>
    </w:p>
    <w:p w14:paraId="7D2182CB">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改革是一项系统工程，需要处理好方方面面的关系，需要讲求科学方法。全会《决定》对此提出了明确要求，我再强调几点。</w:t>
      </w:r>
    </w:p>
    <w:p w14:paraId="5082DBCB">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一是坚持改革和法治相统一。改革和法治如鸟之两翼、车之两轮，相互依存、缺一不可。要以改革之力完善法治，进一步深化法治领域改革，不断完善中国特色社会主义法治体系。进一步拓展法治作用空间，更好发挥法治在排除改革阻力、巩固改革成果中的积极作用。善于运用法治思维和法治方式推进改革，维护法治权威，做到重大改革于法有据。坚持法律面前人人平等，平等保护公民、法人和其他组织合法权益，不能搞选择性执法，更不能搞法外开恩。</w:t>
      </w:r>
    </w:p>
    <w:p w14:paraId="3E2FBF43">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二是坚持破和立的辩证统一。改革是一个破旧立新的过程，破是手段，立是目的。进一步全面深化改革，要坚持以制度建设为主线，更应突出破立并举、先立后破。各项改革举措都要充分论证、精心设计，深入开展风险评估，把握好时度效。该立的积极主动立起来，而且要立得稳、立得住，行得通、真管用；该破的在立的基础上及时破、坚决破、彻底破，在破立统一中实现改革蹄疾步稳。不能未立先破，留下制度真空，让人无所适从，造成无序和混乱。</w:t>
      </w:r>
    </w:p>
    <w:p w14:paraId="5368612D">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三是坚持改革和开放相统一。进一步全面深化改革和高水平对外开放是相辅相成、相互促进的。改革越深入，对开放的水平要求就越高；开放水平越高，对改革的促进作用就越大。要稳步扩大制度型开放，主动对接国际高标准经贸规则，深化外贸、外商投资和对外投资管理体制改革，营造市场化、法治化、国际化一流营商环境。实施自由贸易试验区提升战略，鼓励首创性、集成式探索，打造开放层次更高、辐射作用更强的改革开放新高地。</w:t>
      </w:r>
    </w:p>
    <w:p w14:paraId="75DB04FD">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四是处理好部署和落实的关系。“一分部署，九分落实”。全会《决定》作出的部署主要是从大的方面考虑的，很多举措是战略性、前瞻性、方向性的，落实中需要制定切实可行的具体措施。改革方案的设计，必须把握客观规律，充分发扬民主，顺应社会期盼，注重各项改革举措的协调配套，增强改革取向的一致性，防止和克服本位主义。要建立健全责任明晰、链条完整、环环相扣的工作机制，强化跟踪问效，推动改革举措落实落细落到位，防止重文件制定、轻督促落实等现象，防止“沙滩流水不到头”。</w:t>
      </w:r>
    </w:p>
    <w:p w14:paraId="53EA615F">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领导干部特别是高级干部担负着推进改革的重要职责。要增强政治责任感、历史使命感，以攻坚克难、迎难而上的政治勇气，直面矛盾问题不回避，铲除顽瘴痼疾不含糊，应对风险挑战不退缩，奋力打开改革发展新天地。要善于运用科学的方法推进改革，系统布局、谋定而动，避免盲动、进退失据等现象。</w:t>
      </w:r>
    </w:p>
    <w:p w14:paraId="70E76F6E">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四、营造进一步全面深化改革的良好氛围</w:t>
      </w:r>
    </w:p>
    <w:p w14:paraId="03919093">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广泛凝聚共识、充分调动一切积极因素，对顺利推进改革十分重要。要切实做好改革舆论引导工作，唱响主旋律、传递正能量。</w:t>
      </w:r>
    </w:p>
    <w:p w14:paraId="74819DC0">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要正确理解和解读全会《决定》精神。全会召开3个多月来，各地区各部门通过多种形式和途径深入学习贯彻全会精神，兴起了学习热潮。接下来，要乘势而进，在深入学习、准确理解、全面把握上下功夫，加强对全会《决定》提出的一些重大理论观点的研究和阐释，特别是加强面向基层和群众的宣传、解读，及时澄清、驳斥各种误读和歪曲，引导全社会正确理解党中央的战略考量，正确理解各项改革举措的现实意义、目标指向，以凝聚共识，筑牢全党全社会共抓改革的思想基础、群众基础。</w:t>
      </w:r>
    </w:p>
    <w:p w14:paraId="0D047915">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要合理引导改革预期。要看到，改革是利益格局调整的过程，不可能同时满足所有人的利益诉求。要引导干部、群众增强大局意识，正确对待改革中的利益关系调整和个人利害得失。改革也是一个渐进的过程，不可能一蹴而就、一下子把所有问题都解决，不能急于求成、好高骛远，不要把调子起高、胃口吊高，而是要实事求是，一切从实际出发，稳扎稳打，积小胜为大胜。还要看到，改革是人民群众自己的事业，要全体人民共同参与，团结一致攻坚克难。改革过程中，要坚持以人为本，以实绩实效和人民群众满意度检验改革，真正让人民群众在改革中不断增强获得感、幸福感、安全感。</w:t>
      </w:r>
    </w:p>
    <w:p w14:paraId="1DE8C490">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要把握正确舆论导向。形成舆论合力，加强正面宣传，把改革取得的历史性成就讲充分讲清楚，善于用群众身边小故事讲好改革大道理。持续关注和回应社会关切，及时解疑释惑。有力批驳错误言论，澄清是非、以正视听。</w:t>
      </w:r>
    </w:p>
    <w:p w14:paraId="29E0F508">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※这是习近平总书记2024年10月29日在省部级主要领导干部学习贯彻党的二十届三中全会精神专题研讨班上讲话的主要部分。</w:t>
      </w:r>
    </w:p>
    <w:p w14:paraId="459B5244">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outlineLvl w:val="9"/>
        <w:rPr>
          <w:rFonts w:hint="eastAsia" w:ascii="方正仿宋_GBK" w:hAnsi="方正仿宋_GBK" w:eastAsia="方正仿宋_GBK" w:cs="方正仿宋_GBK"/>
          <w:color w:val="auto"/>
          <w:sz w:val="32"/>
          <w:szCs w:val="32"/>
          <w:lang w:val="en-US" w:eastAsia="zh-CN"/>
        </w:rPr>
      </w:pPr>
    </w:p>
    <w:p w14:paraId="5A355584">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outlineLvl w:val="9"/>
        <w:rPr>
          <w:rFonts w:hint="eastAsia" w:ascii="方正仿宋_GBK" w:hAnsi="方正仿宋_GBK" w:eastAsia="方正仿宋_GBK" w:cs="方正仿宋_GBK"/>
          <w:color w:val="auto"/>
          <w:sz w:val="32"/>
          <w:szCs w:val="32"/>
          <w:lang w:val="en-US" w:eastAsia="zh-CN"/>
        </w:rPr>
        <w:sectPr>
          <w:pgSz w:w="11906" w:h="16838"/>
          <w:pgMar w:top="1984" w:right="1474" w:bottom="1644" w:left="1474" w:header="851" w:footer="992" w:gutter="0"/>
          <w:pgNumType w:fmt="numberInDash"/>
          <w:cols w:space="0" w:num="1"/>
          <w:rtlGutter w:val="0"/>
          <w:docGrid w:type="lines" w:linePitch="312" w:charSpace="0"/>
        </w:sectPr>
      </w:pPr>
      <w:r>
        <w:rPr>
          <w:rFonts w:hint="eastAsia" w:ascii="方正仿宋_GBK" w:hAnsi="方正仿宋_GBK" w:eastAsia="方正仿宋_GBK" w:cs="方正仿宋_GBK"/>
          <w:color w:val="auto"/>
          <w:sz w:val="32"/>
          <w:szCs w:val="32"/>
          <w:lang w:val="en-US" w:eastAsia="zh-CN"/>
        </w:rPr>
        <w:t>发布时间：2025年01月15日16:11 来源：求是</w:t>
      </w:r>
    </w:p>
    <w:bookmarkEnd w:id="1"/>
    <w:p w14:paraId="1F3307A5">
      <w:pPr>
        <w:pStyle w:val="2"/>
        <w:keepNext w:val="0"/>
        <w:keepLines w:val="0"/>
        <w:pageBreakBefore w:val="0"/>
        <w:widowControl w:val="0"/>
        <w:kinsoku/>
        <w:wordWrap/>
        <w:overflowPunct/>
        <w:topLinePunct w:val="0"/>
        <w:autoSpaceDE/>
        <w:autoSpaceDN/>
        <w:bidi w:val="0"/>
        <w:adjustRightInd w:val="0"/>
        <w:snapToGrid w:val="0"/>
        <w:spacing w:line="560" w:lineRule="exact"/>
        <w:jc w:val="both"/>
        <w:textAlignment w:val="auto"/>
        <w:rPr>
          <w:rFonts w:hint="eastAsia"/>
          <w:lang w:val="en-US" w:eastAsia="zh-CN"/>
        </w:rPr>
      </w:pPr>
      <w:bookmarkStart w:id="7" w:name="_Toc32537"/>
      <w:r>
        <w:rPr>
          <w:rFonts w:hint="eastAsia"/>
          <w:lang w:val="en-US" w:eastAsia="zh-CN"/>
        </w:rPr>
        <w:t>3.习近平：健全全面从严治党体系</w:t>
      </w:r>
      <w:bookmarkEnd w:id="7"/>
    </w:p>
    <w:p w14:paraId="7E4E6953">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p>
    <w:p w14:paraId="4D70F255">
      <w:pPr>
        <w:keepNext w:val="0"/>
        <w:keepLines w:val="0"/>
        <w:pageBreakBefore w:val="0"/>
        <w:widowControl w:val="0"/>
        <w:kinsoku/>
        <w:wordWrap/>
        <w:overflowPunct/>
        <w:topLinePunct w:val="0"/>
        <w:autoSpaceDE/>
        <w:autoSpaceDN/>
        <w:bidi w:val="0"/>
        <w:adjustRightInd w:val="0"/>
        <w:snapToGrid w:val="0"/>
        <w:spacing w:line="560" w:lineRule="exact"/>
        <w:ind w:right="0"/>
        <w:jc w:val="center"/>
        <w:textAlignment w:val="auto"/>
        <w:outlineLvl w:val="9"/>
        <w:rPr>
          <w:rFonts w:hint="eastAsia" w:ascii="方正黑体_GBK" w:hAnsi="方正黑体_GBK" w:eastAsia="方正黑体_GBK" w:cs="方正黑体_GBK"/>
          <w:color w:val="auto"/>
          <w:sz w:val="32"/>
          <w:szCs w:val="32"/>
          <w:lang w:val="en-US" w:eastAsia="zh-CN"/>
        </w:rPr>
      </w:pPr>
      <w:r>
        <w:rPr>
          <w:rFonts w:hint="eastAsia" w:ascii="方正黑体_GBK" w:hAnsi="方正黑体_GBK" w:eastAsia="方正黑体_GBK" w:cs="方正黑体_GBK"/>
          <w:color w:val="auto"/>
          <w:sz w:val="32"/>
          <w:szCs w:val="32"/>
          <w:lang w:val="en-US" w:eastAsia="zh-CN"/>
        </w:rPr>
        <w:t>健全全面从严治党体系※</w:t>
      </w:r>
    </w:p>
    <w:p w14:paraId="383877F1">
      <w:pPr>
        <w:keepNext w:val="0"/>
        <w:keepLines w:val="0"/>
        <w:pageBreakBefore w:val="0"/>
        <w:widowControl w:val="0"/>
        <w:kinsoku/>
        <w:wordWrap/>
        <w:overflowPunct/>
        <w:topLinePunct w:val="0"/>
        <w:autoSpaceDE/>
        <w:autoSpaceDN/>
        <w:bidi w:val="0"/>
        <w:adjustRightInd w:val="0"/>
        <w:snapToGrid w:val="0"/>
        <w:spacing w:line="560" w:lineRule="exact"/>
        <w:ind w:right="0"/>
        <w:jc w:val="center"/>
        <w:textAlignment w:val="auto"/>
        <w:outlineLvl w:val="9"/>
        <w:rPr>
          <w:rFonts w:hint="eastAsia" w:ascii="方正黑体_GBK" w:hAnsi="方正黑体_GBK" w:eastAsia="方正黑体_GBK" w:cs="方正黑体_GBK"/>
          <w:color w:val="auto"/>
          <w:sz w:val="32"/>
          <w:szCs w:val="32"/>
          <w:lang w:val="en-US" w:eastAsia="zh-CN"/>
        </w:rPr>
      </w:pPr>
      <w:r>
        <w:rPr>
          <w:rFonts w:hint="eastAsia" w:ascii="方正黑体_GBK" w:hAnsi="方正黑体_GBK" w:eastAsia="方正黑体_GBK" w:cs="方正黑体_GBK"/>
          <w:color w:val="auto"/>
          <w:sz w:val="32"/>
          <w:szCs w:val="32"/>
          <w:lang w:val="en-US" w:eastAsia="zh-CN"/>
        </w:rPr>
        <w:t>习近平</w:t>
      </w:r>
    </w:p>
    <w:p w14:paraId="7227D847">
      <w:pPr>
        <w:keepNext w:val="0"/>
        <w:keepLines w:val="0"/>
        <w:pageBreakBefore w:val="0"/>
        <w:widowControl w:val="0"/>
        <w:kinsoku/>
        <w:wordWrap/>
        <w:overflowPunct/>
        <w:topLinePunct w:val="0"/>
        <w:autoSpaceDE/>
        <w:autoSpaceDN/>
        <w:bidi w:val="0"/>
        <w:adjustRightInd w:val="0"/>
        <w:snapToGrid w:val="0"/>
        <w:spacing w:line="560" w:lineRule="exact"/>
        <w:ind w:right="0" w:firstLine="640" w:firstLineChars="20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今天进行二十届中央政治局第十五次集体学习，内容是健全全面从严治党体系，目的是总结新时代以来全面从严治党体系建设取得的成就，分析面临的新形势新任务，研究健全全面从严治党体系的思路和举措。</w:t>
      </w:r>
    </w:p>
    <w:p w14:paraId="0E41671D">
      <w:pPr>
        <w:keepNext w:val="0"/>
        <w:keepLines w:val="0"/>
        <w:pageBreakBefore w:val="0"/>
        <w:widowControl w:val="0"/>
        <w:kinsoku/>
        <w:wordWrap/>
        <w:overflowPunct/>
        <w:topLinePunct w:val="0"/>
        <w:autoSpaceDE/>
        <w:autoSpaceDN/>
        <w:bidi w:val="0"/>
        <w:adjustRightInd w:val="0"/>
        <w:snapToGrid w:val="0"/>
        <w:spacing w:line="560" w:lineRule="exact"/>
        <w:ind w:right="0" w:firstLine="640" w:firstLineChars="20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再过几天就是我们党103周年诞辰，我代表党中央，向全国广大共产党员致以节日的问候！</w:t>
      </w:r>
    </w:p>
    <w:p w14:paraId="51468D53">
      <w:pPr>
        <w:keepNext w:val="0"/>
        <w:keepLines w:val="0"/>
        <w:pageBreakBefore w:val="0"/>
        <w:widowControl w:val="0"/>
        <w:kinsoku/>
        <w:wordWrap/>
        <w:overflowPunct/>
        <w:topLinePunct w:val="0"/>
        <w:autoSpaceDE/>
        <w:autoSpaceDN/>
        <w:bidi w:val="0"/>
        <w:adjustRightInd w:val="0"/>
        <w:snapToGrid w:val="0"/>
        <w:spacing w:line="560" w:lineRule="exact"/>
        <w:ind w:right="0" w:firstLine="640" w:firstLineChars="20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党的十八大以来，我们坚定不移推进全面从严治党，取得一系列理论创新、实践创新、制度创新成果，构建起全面从严治党体系，开辟了百年大党自我革命新境界。广大党员、干部、群众对全面从严治党衷心拥护，对取得的成效高度认可。同时也要看到，党内存在的思想不纯、组织不纯、作风不纯等突出问题尚未得到根本解决，反腐败斗争形势依然严峻复杂，而且新情况新问题不断涌现，党面临的“四大考验”、“四种危险”将长期存在。全面从严治党永远在路上，党的自我革命永远在路上。全党必须永葆赶考的清醒和坚定，以健全全面从严治党体系为有效途径，不断把新时代党的建设新的伟大工程推向前进。</w:t>
      </w:r>
    </w:p>
    <w:p w14:paraId="1579A285">
      <w:pPr>
        <w:keepNext w:val="0"/>
        <w:keepLines w:val="0"/>
        <w:pageBreakBefore w:val="0"/>
        <w:widowControl w:val="0"/>
        <w:kinsoku/>
        <w:wordWrap/>
        <w:overflowPunct/>
        <w:topLinePunct w:val="0"/>
        <w:autoSpaceDE/>
        <w:autoSpaceDN/>
        <w:bidi w:val="0"/>
        <w:adjustRightInd w:val="0"/>
        <w:snapToGrid w:val="0"/>
        <w:spacing w:line="560" w:lineRule="exact"/>
        <w:ind w:right="0" w:firstLine="640" w:firstLineChars="20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在国家治理体系中，我们党居于总揽全局、协调各方的领导核心地位。要保证权力正确行使、规范运行，提高党的执政能力和领导水平，就必须切实做到党和国家事业拓展到哪里、党的建设就覆盖到哪里。新时代党的建设是以党的政治建设为统领、党的各项建设同向发力综合发力的系统工程，必须以党中央关于党的建设的重要思想、关于党的自我革命的重要思想为根本遵循，坚持和加强党的全面领导和党中央集中统一领导，贯彻落实新时代党的建设总要求，用系统思维、科学方法推进管党治党内容全涵盖、对象全覆盖、责任全链条、制度全贯通，进一步健全要素齐全、功能完备、科学规范、运行高效的全面从严治党体系。</w:t>
      </w:r>
    </w:p>
    <w:p w14:paraId="5C473916">
      <w:pPr>
        <w:keepNext w:val="0"/>
        <w:keepLines w:val="0"/>
        <w:pageBreakBefore w:val="0"/>
        <w:widowControl w:val="0"/>
        <w:kinsoku/>
        <w:wordWrap/>
        <w:overflowPunct/>
        <w:topLinePunct w:val="0"/>
        <w:autoSpaceDE/>
        <w:autoSpaceDN/>
        <w:bidi w:val="0"/>
        <w:adjustRightInd w:val="0"/>
        <w:snapToGrid w:val="0"/>
        <w:spacing w:line="560" w:lineRule="exact"/>
        <w:ind w:right="0" w:firstLine="640" w:firstLineChars="20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第一，健全上下贯通、执行有力的组织体系。党的领导、管党治党各项工作要落到实处，党的中央组织、地方组织、基层组织都必须坚强有力、顺畅运转。只有党的组织体系严密起来，党的各级组织政治功能和组织功能充分发挥出来，全面从严治党才能持续向纵深推进。</w:t>
      </w:r>
    </w:p>
    <w:p w14:paraId="0E94AD9D">
      <w:pPr>
        <w:keepNext w:val="0"/>
        <w:keepLines w:val="0"/>
        <w:pageBreakBefore w:val="0"/>
        <w:widowControl w:val="0"/>
        <w:kinsoku/>
        <w:wordWrap/>
        <w:overflowPunct/>
        <w:topLinePunct w:val="0"/>
        <w:autoSpaceDE/>
        <w:autoSpaceDN/>
        <w:bidi w:val="0"/>
        <w:adjustRightInd w:val="0"/>
        <w:snapToGrid w:val="0"/>
        <w:spacing w:line="560" w:lineRule="exact"/>
        <w:ind w:right="0" w:firstLine="640" w:firstLineChars="20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严密党的组织体系，关键是坚持党中央权威和集中统一领导，根本在做到“两个维护”。要完善党中央重大决策部署落实机制，及时发现和解决“拦路虎”、“中梗阻”、“断头路”等问题，确保党中央政令畅通、令行禁止。要坚持和完善党建工作领导体制和组织管理体制，形成一级抓一级、抓好本级带下级、大抓基层强基础的工作格局，推动各层级各领域党组织全面过硬。要坚持补短板、填空白与提质量、强功能并举，大力推进党建引领基层治理，持续整顿软弱涣散基层党组织，切实提高基层党组织领导基层治理能力。要适应经济社会深刻变革，探索加强新经济组织、新社会组织、新就业群体党建工作，创新党组织设置和活动方式，有效破解党建工作谁负责、党组织怎么建、如何起作用、对党员如何教育管理等难题，扩大党在新兴领域的号召力凝聚力影响力。要善于运用互联网技术和信息化手段开展党建工作，努力实现党的组织和党的工作线下线上全覆盖。</w:t>
      </w:r>
    </w:p>
    <w:p w14:paraId="150E2EB6">
      <w:pPr>
        <w:keepNext w:val="0"/>
        <w:keepLines w:val="0"/>
        <w:pageBreakBefore w:val="0"/>
        <w:widowControl w:val="0"/>
        <w:kinsoku/>
        <w:wordWrap/>
        <w:overflowPunct/>
        <w:topLinePunct w:val="0"/>
        <w:autoSpaceDE/>
        <w:autoSpaceDN/>
        <w:bidi w:val="0"/>
        <w:adjustRightInd w:val="0"/>
        <w:snapToGrid w:val="0"/>
        <w:spacing w:line="560" w:lineRule="exact"/>
        <w:ind w:right="0" w:firstLine="640" w:firstLineChars="20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第二，健全固本培元、凝心铸魂的教育体系。掌握科学理论、夯实思想根基，全面从严治党才有坚实支撑。必须抓好思想建设这个基础，坚持不懈推进党的创新理论武装，持之以恒加强党性教育，引导党员、干部把全面从严治党战略方针转化为自觉行动。</w:t>
      </w:r>
    </w:p>
    <w:p w14:paraId="2B7033C3">
      <w:pPr>
        <w:keepNext w:val="0"/>
        <w:keepLines w:val="0"/>
        <w:pageBreakBefore w:val="0"/>
        <w:widowControl w:val="0"/>
        <w:kinsoku/>
        <w:wordWrap/>
        <w:overflowPunct/>
        <w:topLinePunct w:val="0"/>
        <w:autoSpaceDE/>
        <w:autoSpaceDN/>
        <w:bidi w:val="0"/>
        <w:adjustRightInd w:val="0"/>
        <w:snapToGrid w:val="0"/>
        <w:spacing w:line="560" w:lineRule="exact"/>
        <w:ind w:right="0" w:firstLine="640" w:firstLineChars="20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党的十八大以来，我们坚持以理论学习为主线，接续开展党内集中教育，有效提升了全党马克思主义水平，有力促进了全党政治上、思想上、行动上的统一。要不断创新理论武装的方式方法，坚持经常性教育和集中性教育相结合、理论武装和实践运用相结合、强党性和增本领相结合，健全落实以学铸魂、以学增智、以学正风、以学促干长效机制。要健全党委（党组）理论学习中心组学习、基层党组织理论学习制度，完善党校（行政学院）、干部学院理论培训质量评估和动态优化机制，加强教材体系建设，推动党员、干部把党的创新理论转化为坚定理想信念、强大精神动力和出色工作业绩。</w:t>
      </w:r>
    </w:p>
    <w:p w14:paraId="6DEEE2CD">
      <w:pPr>
        <w:keepNext w:val="0"/>
        <w:keepLines w:val="0"/>
        <w:pageBreakBefore w:val="0"/>
        <w:widowControl w:val="0"/>
        <w:kinsoku/>
        <w:wordWrap/>
        <w:overflowPunct/>
        <w:topLinePunct w:val="0"/>
        <w:autoSpaceDE/>
        <w:autoSpaceDN/>
        <w:bidi w:val="0"/>
        <w:adjustRightInd w:val="0"/>
        <w:snapToGrid w:val="0"/>
        <w:spacing w:line="560" w:lineRule="exact"/>
        <w:ind w:right="0" w:firstLine="640" w:firstLineChars="20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第三，健全精准发力、标本兼治的监管体系。推进全面从严治党，重在真管真严，要在精准施治。要密切关注和分析研判党情党风新动向，坚持奔着问题去、对着根源治，既治标又治本，提高管党治党的精准性、实效性。</w:t>
      </w:r>
    </w:p>
    <w:p w14:paraId="3C8E6A22">
      <w:pPr>
        <w:keepNext w:val="0"/>
        <w:keepLines w:val="0"/>
        <w:pageBreakBefore w:val="0"/>
        <w:widowControl w:val="0"/>
        <w:kinsoku/>
        <w:wordWrap/>
        <w:overflowPunct/>
        <w:topLinePunct w:val="0"/>
        <w:autoSpaceDE/>
        <w:autoSpaceDN/>
        <w:bidi w:val="0"/>
        <w:adjustRightInd w:val="0"/>
        <w:snapToGrid w:val="0"/>
        <w:spacing w:line="560" w:lineRule="exact"/>
        <w:ind w:right="0" w:firstLine="640" w:firstLineChars="20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要坚持党性党风党纪一起抓、治病强身相结合，改进党员管理机制，完善从严管理监督干部机制，健全正风肃纪常态化机制，完善一体推进不敢腐、不能腐、不想腐工作机制，通过全方位、全过程、全周期从严治理，把严的要求体现到管党治党各方面各环节，落实到党的各级组织和全体党员身上。</w:t>
      </w:r>
    </w:p>
    <w:p w14:paraId="15EFBA7C">
      <w:pPr>
        <w:keepNext w:val="0"/>
        <w:keepLines w:val="0"/>
        <w:pageBreakBefore w:val="0"/>
        <w:widowControl w:val="0"/>
        <w:kinsoku/>
        <w:wordWrap/>
        <w:overflowPunct/>
        <w:topLinePunct w:val="0"/>
        <w:autoSpaceDE/>
        <w:autoSpaceDN/>
        <w:bidi w:val="0"/>
        <w:adjustRightInd w:val="0"/>
        <w:snapToGrid w:val="0"/>
        <w:spacing w:line="560" w:lineRule="exact"/>
        <w:ind w:right="0" w:firstLine="640" w:firstLineChars="20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要坚持党的自我监督和人民监督相结合，促进各类监督贯通协调，健全党统一领导、全面覆盖、权威高效的监督体系。要突出监督重点，着力抓好政治监督、领导班子特别是“一把手”监督、“三重一大”事项监督以及权力集中、资金密集、资源富集等重点领域的监督，切实让特权现象和腐败问题无所遁形。</w:t>
      </w:r>
    </w:p>
    <w:p w14:paraId="3B86B4FD">
      <w:pPr>
        <w:keepNext w:val="0"/>
        <w:keepLines w:val="0"/>
        <w:pageBreakBefore w:val="0"/>
        <w:widowControl w:val="0"/>
        <w:kinsoku/>
        <w:wordWrap/>
        <w:overflowPunct/>
        <w:topLinePunct w:val="0"/>
        <w:autoSpaceDE/>
        <w:autoSpaceDN/>
        <w:bidi w:val="0"/>
        <w:adjustRightInd w:val="0"/>
        <w:snapToGrid w:val="0"/>
        <w:spacing w:line="560" w:lineRule="exact"/>
        <w:ind w:right="0" w:firstLine="640" w:firstLineChars="20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第四，健全科学完备、有效管用的制度体系。全面从严治党政治性、原则性强，必须有一套科学完备的制度来规范。制度建设要与管党治党需要相适应、与党的各项建设相配套，全方位织密制度的笼子。同时，也要防止制度过于烦琐、陷入“制度陷阱”。要加强系统集成，使各项制度成为有机整体，避免出现相互割裂、相互掣肘、碎片化现象。</w:t>
      </w:r>
    </w:p>
    <w:p w14:paraId="3C2EE5EC">
      <w:pPr>
        <w:keepNext w:val="0"/>
        <w:keepLines w:val="0"/>
        <w:pageBreakBefore w:val="0"/>
        <w:widowControl w:val="0"/>
        <w:kinsoku/>
        <w:wordWrap/>
        <w:overflowPunct/>
        <w:topLinePunct w:val="0"/>
        <w:autoSpaceDE/>
        <w:autoSpaceDN/>
        <w:bidi w:val="0"/>
        <w:adjustRightInd w:val="0"/>
        <w:snapToGrid w:val="0"/>
        <w:spacing w:line="560" w:lineRule="exact"/>
        <w:ind w:right="0" w:firstLine="640" w:firstLineChars="20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要深化党内法规制度建设改革，做好顶层设计、查漏补缺、提质增效文章。要面向实践需要，尊重基层首创精神，及时将好经验好做法上升为制度，使制度更加切合实际。要强化制度治党、依规治党的高度自觉，着力提高制度执行力，推动全面从严治党在法规制度轨道上向纵深发展。</w:t>
      </w:r>
    </w:p>
    <w:p w14:paraId="238DC433">
      <w:pPr>
        <w:keepNext w:val="0"/>
        <w:keepLines w:val="0"/>
        <w:pageBreakBefore w:val="0"/>
        <w:widowControl w:val="0"/>
        <w:kinsoku/>
        <w:wordWrap/>
        <w:overflowPunct/>
        <w:topLinePunct w:val="0"/>
        <w:autoSpaceDE/>
        <w:autoSpaceDN/>
        <w:bidi w:val="0"/>
        <w:adjustRightInd w:val="0"/>
        <w:snapToGrid w:val="0"/>
        <w:spacing w:line="560" w:lineRule="exact"/>
        <w:ind w:right="0" w:firstLine="640" w:firstLineChars="20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第五，健全主体明确、要求清晰的责任体系。全面从严治党是全党的共同责任，必须分层分类建立健全责任体系，以明确责任、压实责任推动各级党组织和广大党员、干部知责、担责、履责。</w:t>
      </w:r>
    </w:p>
    <w:p w14:paraId="589FE7D0">
      <w:pPr>
        <w:keepNext w:val="0"/>
        <w:keepLines w:val="0"/>
        <w:pageBreakBefore w:val="0"/>
        <w:widowControl w:val="0"/>
        <w:kinsoku/>
        <w:wordWrap/>
        <w:overflowPunct/>
        <w:topLinePunct w:val="0"/>
        <w:autoSpaceDE/>
        <w:autoSpaceDN/>
        <w:bidi w:val="0"/>
        <w:adjustRightInd w:val="0"/>
        <w:snapToGrid w:val="0"/>
        <w:spacing w:line="560" w:lineRule="exact"/>
        <w:ind w:right="0" w:firstLine="640" w:firstLineChars="20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要围绕加强对管党治党的领导、选好用好干部、强化权力运行监督制约、维护群众利益等，明确党委（党组）全面从严治党主体责任；围绕高效监督、从严执纪、精准问责等，明确各级纪委的监督责任；围绕抓好班子、带好队伍、推动落实，明确党委（党组）书记第一责任人责任；结合职责任务分工，按照“一岗双责”要求，明确领导班子其他成员的管党治党责任；围绕严于自律和互相监督、互相提醒帮助，结合党员、干部岗位特点和工作实际，明确党员、干部的具体责任。要健全精准科学的问责机制，层层传导压力，以责任主体到位、责任要求到位、考核问责到位，推动管党治党责任落实到位。</w:t>
      </w:r>
    </w:p>
    <w:p w14:paraId="1F8F2872">
      <w:pPr>
        <w:keepNext w:val="0"/>
        <w:keepLines w:val="0"/>
        <w:pageBreakBefore w:val="0"/>
        <w:widowControl w:val="0"/>
        <w:kinsoku/>
        <w:wordWrap/>
        <w:overflowPunct/>
        <w:topLinePunct w:val="0"/>
        <w:autoSpaceDE/>
        <w:autoSpaceDN/>
        <w:bidi w:val="0"/>
        <w:adjustRightInd w:val="0"/>
        <w:snapToGrid w:val="0"/>
        <w:spacing w:line="560" w:lineRule="exact"/>
        <w:ind w:right="0" w:firstLine="640" w:firstLineChars="20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健全全面从严治党体系、深入推进全面从严治党，中央政治局的同志要带好头、当表率，严于律己、严负其责、严管所辖，团结带领全党把党治理好、建设强，为以中国式现代化全面推进强国建设、民族复兴伟业提供坚强保障。</w:t>
      </w:r>
    </w:p>
    <w:p w14:paraId="623A8791">
      <w:pPr>
        <w:keepNext w:val="0"/>
        <w:keepLines w:val="0"/>
        <w:pageBreakBefore w:val="0"/>
        <w:widowControl w:val="0"/>
        <w:kinsoku/>
        <w:wordWrap/>
        <w:overflowPunct/>
        <w:topLinePunct w:val="0"/>
        <w:autoSpaceDE/>
        <w:autoSpaceDN/>
        <w:bidi w:val="0"/>
        <w:adjustRightInd w:val="0"/>
        <w:snapToGrid w:val="0"/>
        <w:spacing w:line="560" w:lineRule="exact"/>
        <w:ind w:right="0" w:firstLine="640" w:firstLineChars="20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※这是习近平总书记2024年6月27日在二十届中央政治局第十五次集体学习时的讲话。</w:t>
      </w:r>
    </w:p>
    <w:p w14:paraId="24BD7A7E">
      <w:pPr>
        <w:keepNext w:val="0"/>
        <w:keepLines w:val="0"/>
        <w:pageBreakBefore w:val="0"/>
        <w:widowControl w:val="0"/>
        <w:kinsoku/>
        <w:wordWrap/>
        <w:overflowPunct/>
        <w:topLinePunct w:val="0"/>
        <w:autoSpaceDE/>
        <w:autoSpaceDN/>
        <w:bidi w:val="0"/>
        <w:adjustRightInd w:val="0"/>
        <w:snapToGrid w:val="0"/>
        <w:spacing w:line="560" w:lineRule="exact"/>
        <w:ind w:right="0"/>
        <w:jc w:val="both"/>
        <w:textAlignment w:val="auto"/>
        <w:outlineLvl w:val="9"/>
        <w:rPr>
          <w:rFonts w:hint="eastAsia" w:ascii="方正仿宋_GBK" w:hAnsi="方正仿宋_GBK" w:eastAsia="方正仿宋_GBK" w:cs="方正仿宋_GBK"/>
          <w:color w:val="auto"/>
          <w:sz w:val="32"/>
          <w:szCs w:val="32"/>
          <w:lang w:val="en-US" w:eastAsia="zh-CN"/>
        </w:rPr>
      </w:pPr>
    </w:p>
    <w:p w14:paraId="3F4C9F7B">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发布时间：2025年02月15日15:26 来源：求是</w:t>
      </w:r>
    </w:p>
    <w:p w14:paraId="4EB4FD60">
      <w:pPr>
        <w:keepNext w:val="0"/>
        <w:keepLines w:val="0"/>
        <w:pageBreakBefore w:val="0"/>
        <w:widowControl w:val="0"/>
        <w:kinsoku/>
        <w:wordWrap/>
        <w:overflowPunct/>
        <w:topLinePunct w:val="0"/>
        <w:autoSpaceDE/>
        <w:autoSpaceDN/>
        <w:bidi w:val="0"/>
        <w:adjustRightInd w:val="0"/>
        <w:snapToGrid w:val="0"/>
        <w:spacing w:line="560" w:lineRule="exact"/>
        <w:ind w:left="0" w:right="0"/>
        <w:jc w:val="both"/>
        <w:textAlignment w:val="auto"/>
        <w:outlineLvl w:val="9"/>
        <w:rPr>
          <w:rFonts w:hint="eastAsia" w:ascii="方正仿宋_GBK" w:hAnsi="方正仿宋_GBK" w:eastAsia="方正仿宋_GBK" w:cs="方正仿宋_GBK"/>
          <w:color w:val="auto"/>
          <w:sz w:val="32"/>
          <w:szCs w:val="32"/>
          <w:lang w:val="en-US" w:eastAsia="zh-CN"/>
        </w:rPr>
        <w:sectPr>
          <w:footerReference r:id="rId4" w:type="default"/>
          <w:pgSz w:w="11906" w:h="16838"/>
          <w:pgMar w:top="1984" w:right="1474" w:bottom="1644" w:left="1474" w:header="851" w:footer="992" w:gutter="0"/>
          <w:pgNumType w:fmt="numberInDash"/>
          <w:cols w:space="0" w:num="1"/>
          <w:rtlGutter w:val="0"/>
          <w:docGrid w:type="lines" w:linePitch="312" w:charSpace="0"/>
        </w:sectPr>
      </w:pPr>
    </w:p>
    <w:p w14:paraId="624F83D7">
      <w:pPr>
        <w:pStyle w:val="2"/>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ascii="Times New Roman" w:hAnsi="Times New Roman"/>
          <w:lang w:val="en-US" w:eastAsia="zh-CN"/>
        </w:rPr>
      </w:pPr>
      <w:bookmarkStart w:id="8" w:name="_Toc25728"/>
      <w:bookmarkStart w:id="9" w:name="_Toc3349"/>
      <w:r>
        <w:rPr>
          <w:rFonts w:hint="eastAsia" w:ascii="Times New Roman" w:hAnsi="Times New Roman"/>
          <w:lang w:val="en-US" w:eastAsia="zh-CN"/>
        </w:rPr>
        <w:t>4.</w:t>
      </w:r>
      <w:bookmarkEnd w:id="8"/>
      <w:r>
        <w:rPr>
          <w:rFonts w:hint="eastAsia" w:ascii="Times New Roman" w:hAnsi="Times New Roman"/>
          <w:lang w:val="en-US" w:eastAsia="zh-CN"/>
        </w:rPr>
        <w:t>习近平：坚定不移贯彻总体国家安全观 把平安中国建设推向更高水平</w:t>
      </w:r>
      <w:bookmarkEnd w:id="9"/>
    </w:p>
    <w:p w14:paraId="74E6BD9D">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0" w:firstLineChars="0"/>
        <w:jc w:val="center"/>
        <w:textAlignment w:val="auto"/>
        <w:rPr>
          <w:rFonts w:hint="eastAsia" w:ascii="方正楷体_GBK" w:hAnsi="方正楷体_GBK" w:eastAsia="方正楷体_GBK" w:cs="方正楷体_GBK"/>
          <w:i w:val="0"/>
          <w:iCs w:val="0"/>
          <w:caps w:val="0"/>
          <w:color w:val="333333"/>
          <w:spacing w:val="0"/>
          <w:kern w:val="0"/>
          <w:sz w:val="32"/>
          <w:szCs w:val="32"/>
          <w:shd w:val="clear" w:fill="FFFFFF"/>
          <w:lang w:val="en-US" w:eastAsia="zh-CN" w:bidi="ar"/>
        </w:rPr>
      </w:pPr>
    </w:p>
    <w:p w14:paraId="5CB9570F">
      <w:pPr>
        <w:pStyle w:val="2"/>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Times New Roman" w:hAnsi="Times New Roman"/>
          <w:lang w:val="en-US" w:eastAsia="zh-CN"/>
        </w:rPr>
      </w:pPr>
      <w:bookmarkStart w:id="10" w:name="_Toc13159"/>
      <w:bookmarkStart w:id="11" w:name="_Toc23453"/>
      <w:bookmarkStart w:id="12" w:name="_Toc14582"/>
      <w:r>
        <w:rPr>
          <w:rFonts w:hint="eastAsia" w:ascii="Times New Roman" w:hAnsi="Times New Roman"/>
          <w:lang w:val="en-US" w:eastAsia="zh-CN"/>
        </w:rPr>
        <w:t>习近平在中共中央政治局第十九次集体学习时强调 坚定不移贯彻总体国家安全观 把平安中国建设推向更高水平</w:t>
      </w:r>
      <w:bookmarkEnd w:id="10"/>
      <w:bookmarkEnd w:id="11"/>
      <w:bookmarkEnd w:id="12"/>
    </w:p>
    <w:p w14:paraId="090089C3">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tabs>
          <w:tab w:val="left" w:pos="6175"/>
        </w:tabs>
        <w:kinsoku/>
        <w:wordWrap/>
        <w:overflowPunct/>
        <w:topLinePunct w:val="0"/>
        <w:autoSpaceDE/>
        <w:autoSpaceDN/>
        <w:bidi w:val="0"/>
        <w:adjustRightInd w:val="0"/>
        <w:snapToGrid w:val="0"/>
        <w:spacing w:before="0" w:beforeAutospacing="0" w:after="0" w:afterAutospacing="0" w:line="560" w:lineRule="exact"/>
        <w:ind w:left="0" w:right="0" w:firstLine="0" w:firstLineChars="0"/>
        <w:jc w:val="left"/>
        <w:textAlignment w:val="auto"/>
        <w:rPr>
          <w:rStyle w:val="11"/>
          <w:rFonts w:hint="eastAsia" w:ascii="方正楷体_GBK" w:hAnsi="方正楷体_GBK" w:eastAsia="方正楷体_GBK" w:cs="方正楷体_GBK"/>
          <w:b w:val="0"/>
          <w:bCs/>
          <w:i w:val="0"/>
          <w:iCs w:val="0"/>
          <w:caps w:val="0"/>
          <w:color w:val="333333"/>
          <w:spacing w:val="0"/>
          <w:kern w:val="2"/>
          <w:sz w:val="32"/>
          <w:szCs w:val="32"/>
          <w:shd w:val="clear" w:fill="FFFFFF"/>
          <w:lang w:val="en-US" w:eastAsia="zh-CN" w:bidi="ar-SA"/>
        </w:rPr>
      </w:pPr>
    </w:p>
    <w:p w14:paraId="5E5AFA41">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中共中央政治局2月28日上午就建设更高水平平安中国进行第十九次集体学习。中共中央总书记习近平在主持学习时强调，建设更高水平平安中国，事关事业兴旺发达、事关人民美好生活、事关国家长治久安。要坚定不移贯彻总体国家安全观，在国家更加安全、社会更加有序、治理更加有效、人民更加满意上持续用力，把平安中国建设推向更高水平。</w:t>
      </w:r>
    </w:p>
    <w:p w14:paraId="2D83DAA6">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西南政法大学副校长、教授李燕同志就这个问题进行讲解，提出工作建议。中央政治局的同志认真听取讲解，并进行了讨论。</w:t>
      </w:r>
    </w:p>
    <w:p w14:paraId="11443C7E">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习近平在听取讲解和讨论后发表重要讲话。他指出，党的十八大以来，党中央不断完善国家安全领导体制和法治体系、战略体系、政策体系，完善社会治理体系，强化社会治安整体防控，着力提高公共安全治理水平，坚决维护国家主权、安全、发展利益，成功续写了经济快速发展和社会长期稳定“两大奇迹”新篇章。适应形势任务的发展变化，平安中国建设只能加强，不能削弱。</w:t>
      </w:r>
    </w:p>
    <w:p w14:paraId="62435EEF">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习近平强调，总体国家安全观是建设更高水平平安中国的重要遵循，必须坚定不移贯彻。各级党委和政府要坚持系统思维，进一步树立发展是硬道理、安全也是硬道理的理念，在工作中自觉把发展和安全统一起来，共同谋划、一体部署、相互促进。要坚持全国一盘棋、上下齐发力，通过抓好一地一域一业的安全为国家整体安全创造条件，通过及时有效解决一个个安全问题为国家长治久安筑牢根基。</w:t>
      </w:r>
    </w:p>
    <w:p w14:paraId="64493F68">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习近平指出，平安中国建设为了人民，也依靠人民。要不断增进民生福祉，扎实推进共同富裕，切实维护人民群众合法权益，维护社会公平正义。要完善社会治理体系、健全社会工作体制机制，建设人人有责、人人尽责、人人享有的社会治理共同体。要培育自尊自信、理性平和、积极向上的社会心态，弘扬锐意进取、甘于奉献、崇尚法治、文明礼让的时代新风。</w:t>
      </w:r>
    </w:p>
    <w:p w14:paraId="543BBF8C">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习近平强调，防范化解各类风险是平安中国建设的一项重要任务。要把捍卫国家政治安全摆在首位，坚定维护国家政权安全、制度安全、意识形态安全。要完善公共安全体系，推动公共安全治理模式向事前预防转型，加强防灾减灾救灾、安全生产、食品药品安全、网络安全、人工智能安全等方面工作。要着力防范重点领域风险。</w:t>
      </w:r>
    </w:p>
    <w:p w14:paraId="61BABE2A">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习近平指出，建设更高水平平安中国，必须强化社会治安整体防控。要把专项治理和系统治理、依法治理、综合治理、源头治理结合起来，发展壮大群防群治力量，筑起真正的铜墙铁壁。要坚持和发展新时代“枫桥经验”，推进信访工作法治化，及时有效化解各种矛盾纠纷。</w:t>
      </w:r>
    </w:p>
    <w:p w14:paraId="263EDCB8">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习近平强调，党的领导是平安中国建设的根本保证。要始终坚持党中央对国家安全工作、对政法工作的绝对领导，充分发挥各级党委在平安建设中总揽全局、协调各方的领导作用。要加强正面宣传和舆论引导，注重运用现代科技手段提高社会治理效能。要锻造忠诚干净担当的新时代政法铁军。</w:t>
      </w:r>
    </w:p>
    <w:p w14:paraId="241E5D0C">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p>
    <w:p w14:paraId="0D6B4A48">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发布时间：2025年03月01日11:30 来源：新华社</w:t>
      </w:r>
    </w:p>
    <w:p w14:paraId="2109BF1D">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textAlignment w:val="auto"/>
        <w:rPr>
          <w:rFonts w:ascii="Times New Roman" w:hAnsi="Times New Roman" w:eastAsiaTheme="minorEastAsia"/>
          <w:sz w:val="21"/>
        </w:rPr>
      </w:pPr>
    </w:p>
    <w:p w14:paraId="000200B3">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jc w:val="both"/>
        <w:textAlignment w:val="auto"/>
        <w:outlineLvl w:val="9"/>
        <w:rPr>
          <w:rFonts w:hint="eastAsia" w:ascii="Times New Roman" w:hAnsi="Times New Roman" w:eastAsia="方正仿宋_GBK" w:cs="方正仿宋_GBK"/>
          <w:color w:val="000000" w:themeColor="text1"/>
          <w:sz w:val="32"/>
          <w:szCs w:val="32"/>
          <w14:textFill>
            <w14:solidFill>
              <w14:schemeClr w14:val="tx1"/>
            </w14:solidFill>
          </w14:textFill>
        </w:rPr>
        <w:sectPr>
          <w:footerReference r:id="rId5" w:type="default"/>
          <w:footerReference r:id="rId6" w:type="even"/>
          <w:pgSz w:w="11906" w:h="16838"/>
          <w:pgMar w:top="1984" w:right="1474" w:bottom="1644" w:left="1474" w:header="851" w:footer="992" w:gutter="0"/>
          <w:pgNumType w:fmt="numberInDash"/>
          <w:cols w:space="0" w:num="1"/>
          <w:rtlGutter w:val="0"/>
          <w:docGrid w:type="lines" w:linePitch="312" w:charSpace="0"/>
        </w:sectPr>
      </w:pPr>
    </w:p>
    <w:p w14:paraId="0D15F814">
      <w:pPr>
        <w:pStyle w:val="2"/>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ascii="Times New Roman" w:hAnsi="Times New Roman"/>
        </w:rPr>
      </w:pPr>
      <w:bookmarkStart w:id="13" w:name="_Toc18093"/>
      <w:bookmarkStart w:id="14" w:name="_Toc23747"/>
      <w:r>
        <w:rPr>
          <w:rFonts w:hint="eastAsia" w:ascii="Times New Roman" w:hAnsi="Times New Roman"/>
          <w:lang w:val="en-US" w:eastAsia="zh-CN"/>
        </w:rPr>
        <w:t>5.</w:t>
      </w:r>
      <w:bookmarkEnd w:id="13"/>
      <w:r>
        <w:rPr>
          <w:rFonts w:hint="eastAsia" w:ascii="Times New Roman" w:hAnsi="Times New Roman"/>
        </w:rPr>
        <w:t>习近平：强化教育对科技和人才支撑作用 形成人才辈出人尽其才才尽其用生动局面</w:t>
      </w:r>
      <w:bookmarkEnd w:id="14"/>
    </w:p>
    <w:p w14:paraId="61B8FE5F">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Autospacing="0" w:after="0" w:afterAutospacing="0" w:line="560" w:lineRule="exact"/>
        <w:ind w:left="0" w:right="0" w:firstLine="0" w:firstLineChars="0"/>
        <w:jc w:val="center"/>
        <w:textAlignment w:val="auto"/>
        <w:rPr>
          <w:rStyle w:val="11"/>
          <w:rFonts w:hint="eastAsia" w:ascii="方正楷体_GBK" w:hAnsi="方正楷体_GBK" w:eastAsia="方正楷体_GBK" w:cs="方正楷体_GBK"/>
          <w:b w:val="0"/>
          <w:bCs/>
          <w:i w:val="0"/>
          <w:iCs w:val="0"/>
          <w:caps w:val="0"/>
          <w:color w:val="333333"/>
          <w:spacing w:val="0"/>
          <w:kern w:val="2"/>
          <w:sz w:val="32"/>
          <w:szCs w:val="32"/>
          <w:shd w:val="clear" w:fill="FFFFFF"/>
          <w:lang w:val="en-US" w:eastAsia="zh-CN" w:bidi="ar-SA"/>
        </w:rPr>
      </w:pPr>
    </w:p>
    <w:p w14:paraId="0AC04F03">
      <w:pPr>
        <w:pStyle w:val="2"/>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Style w:val="11"/>
          <w:rFonts w:hint="eastAsia" w:ascii="方正楷体_GBK" w:hAnsi="方正楷体_GBK" w:eastAsia="方正楷体_GBK" w:cs="方正楷体_GBK"/>
          <w:b w:val="0"/>
          <w:bCs/>
          <w:i w:val="0"/>
          <w:iCs w:val="0"/>
          <w:caps w:val="0"/>
          <w:color w:val="333333"/>
          <w:spacing w:val="0"/>
          <w:kern w:val="2"/>
          <w:sz w:val="32"/>
          <w:szCs w:val="32"/>
          <w:shd w:val="clear" w:fill="FFFFFF"/>
          <w:lang w:val="en-US" w:eastAsia="zh-CN" w:bidi="ar-SA"/>
        </w:rPr>
      </w:pPr>
      <w:bookmarkStart w:id="15" w:name="_Toc16447"/>
      <w:bookmarkStart w:id="16" w:name="_Toc25951"/>
      <w:bookmarkStart w:id="17" w:name="_Toc4041"/>
      <w:r>
        <w:rPr>
          <w:rFonts w:hint="eastAsia" w:ascii="Times New Roman" w:hAnsi="Times New Roman"/>
          <w:lang w:val="en-US" w:eastAsia="zh-CN"/>
        </w:rPr>
        <w:t>习近平在看望参加政协会议的民盟民进教育界委员时强调 强化教育对科技和人才支撑作用 形成人才辈出人尽其才才尽其用生动局面</w:t>
      </w:r>
      <w:bookmarkEnd w:id="15"/>
      <w:bookmarkEnd w:id="16"/>
      <w:bookmarkEnd w:id="17"/>
    </w:p>
    <w:p w14:paraId="5757C906">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p>
    <w:p w14:paraId="2618A406">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中共中央总书记、国家主席、中央军委主席习近平3月6日下午看望了参加全国政协十四届三次会议的民盟、民进、教育界委员，并参加联组会，听取意见和建议。他强调，新时代新征程，必须深刻把握中国式现代化对教育、科技、人才的需求，强化教育对科技和人才的支撑作用，进一步形成人才辈出、人尽其才、才尽其用的生动局面。</w:t>
      </w:r>
    </w:p>
    <w:p w14:paraId="3D51080F">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在“三八”国际劳动妇女节即将到来之际，习近平代表中共中央，向参加全国两会的女代表、女委员、女工作人员，向全国各族各界妇女，向香港特别行政区、澳门特别行政区、台湾地区的女同胞和海外女侨胞，致以节日祝福和美好祝愿。</w:t>
      </w:r>
    </w:p>
    <w:p w14:paraId="724E79B8">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中共中央政治局常委、全国政协主席王沪宁，中共中央政治局常委、中央办公厅主任蔡奇参加看望和讨论。</w:t>
      </w:r>
    </w:p>
    <w:p w14:paraId="5E7660AA">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联组会上，张运凯、蔡光洁、郑家建、徐坤、崔亚丽、马景林等6位委员，围绕推进职业教育与区域产业协同发展、优化基础教育资源配置、打造儿童青少年阅读生态、推进国家教育智联网建设、推进教育科技人才一体发展、依托学校课程弘扬传统文化等作了发言。</w:t>
      </w:r>
    </w:p>
    <w:p w14:paraId="6EF771B5">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在听取大家发言后，习近平发表重要讲话。他表示，很高兴同大家一起讨论，听取意见建议。他代表中共中央，向在座各位委员，并向广大民盟、民进成员和教育界人士，向广大政协委员，致以诚挚问候。</w:t>
      </w:r>
    </w:p>
    <w:p w14:paraId="46AB2B7B">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习近平指出，过去一年，人民政协紧扣中心任务履职尽责，为党和国家事业发展作出新贡献。民盟、民进各级组织和广大成员聚焦中心工作，积极建言献策，参与社会服务，各项工作取得新成绩。广大教育界人士积极投身教育强国建设，推动“五育”并举、立德树人迈出新步伐。</w:t>
      </w:r>
    </w:p>
    <w:p w14:paraId="49964EF9">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习近平强调，建设教育强国、科技强国、人才强国，必须坚持正确办学方向，培养德智体美劳全面发展的社会主义建设者和接班人。要聚焦用新时代中国特色社会主义思想铸魂育人，把德育贯穿于智育、体育、美育、劳动教育全过程。要坚持思政课建设和党的创新理论武装同步推进、思政课程和课程思政同向同行，把思政教育“小课堂”和社会“大课堂”有效融合起来，把德育工作做得更到位、更有效。</w:t>
      </w:r>
    </w:p>
    <w:p w14:paraId="746427A1">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习近平指出，建设高质量教育体系，办好人民满意的教育，根本在于深化教育综合改革。要确立科学的教育评价体系，有效发挥指挥棒作用。要完善学校管理体系，落实学校办学自主权，不断提升依法治教和管理水平。要着眼现代化需求，适应人口结构变化，统筹基础教育、高等教育、职业教育，统筹政府投入和社会投入，建立健全更加合理高效的教育资源配置机制。</w:t>
      </w:r>
    </w:p>
    <w:p w14:paraId="6D603B04">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习近平强调，实现科技自主创新和人才自主培养良性互动，教育要进一步发挥先导性、基础性支撑作用。要实施好基础学科和交叉学科突破计划，打造校企地联合创新平台，提高科技成果转化效能。要完善人才培养与经济社会发展需要适配机制，提高人才自主培养质效。要实施国家教育数字化战略，建设学习型社会，推动各类型各层次人才竞相涌现。</w:t>
      </w:r>
    </w:p>
    <w:p w14:paraId="036A545F">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习近平指出，建设教育强国、科技强国、人才强国，是全党全社会的共同责任。人民政协要充分发挥专门协商机构作用，广泛凝聚人心、凝聚共识、凝聚智慧、凝聚力量，促进教育科技人才事业高质量发展。广大民盟、民进成员和教育界人士要发挥自身优势，更好支持参与教育科技人才体制机制一体改革和发展的实践，为提升国家创新体系整体效能贡献智慧和力量。</w:t>
      </w:r>
    </w:p>
    <w:p w14:paraId="68CC4476">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石泰峰、丁仲礼、蔡达峰、胡春华、王东峰、姜信治、王光谦、朱永新等参加联组会。</w:t>
      </w:r>
    </w:p>
    <w:p w14:paraId="76E358C3">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p>
    <w:p w14:paraId="2BCD1B4B">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发布时间：2025年03月06日20:58 来源：新华社</w:t>
      </w:r>
    </w:p>
    <w:p w14:paraId="7DB672CA">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Times New Roman" w:hAnsi="Times New Roman" w:eastAsia="方正仿宋_GBK" w:cs="方正仿宋_GBK"/>
          <w:color w:val="000000" w:themeColor="text1"/>
          <w:sz w:val="32"/>
          <w:szCs w:val="32"/>
          <w14:textFill>
            <w14:solidFill>
              <w14:schemeClr w14:val="tx1"/>
            </w14:solidFill>
          </w14:textFill>
        </w:rPr>
      </w:pPr>
      <w:r>
        <w:rPr>
          <w:rFonts w:hint="eastAsia" w:ascii="Times New Roman" w:hAnsi="Times New Roman" w:eastAsia="方正仿宋_GBK" w:cs="方正仿宋_GBK"/>
          <w:color w:val="000000" w:themeColor="text1"/>
          <w:sz w:val="32"/>
          <w:szCs w:val="32"/>
          <w14:textFill>
            <w14:solidFill>
              <w14:schemeClr w14:val="tx1"/>
            </w14:solidFill>
          </w14:textFill>
        </w:rPr>
        <w:br w:type="page"/>
      </w:r>
    </w:p>
    <w:p w14:paraId="2C7F1C4B">
      <w:pPr>
        <w:pStyle w:val="2"/>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hint="eastAsia"/>
          <w:lang w:val="en-US" w:eastAsia="zh-CN"/>
        </w:rPr>
      </w:pPr>
      <w:bookmarkStart w:id="18" w:name="_Toc13577"/>
      <w:bookmarkStart w:id="19" w:name="_Toc13518"/>
      <w:r>
        <w:rPr>
          <w:rFonts w:hint="eastAsia"/>
          <w:lang w:val="en-US" w:eastAsia="zh-CN"/>
        </w:rPr>
        <w:t>6.《政府工作报告》（全文）</w:t>
      </w:r>
      <w:bookmarkEnd w:id="18"/>
    </w:p>
    <w:p w14:paraId="65EAC52C">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lang w:val="en-US" w:eastAsia="zh-CN"/>
        </w:rPr>
      </w:pPr>
    </w:p>
    <w:p w14:paraId="0E5568CD">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楷体_GBK" w:hAnsi="方正楷体_GBK" w:eastAsia="方正楷体_GBK" w:cs="方正楷体_GBK"/>
          <w:color w:val="auto"/>
          <w:sz w:val="32"/>
          <w:szCs w:val="32"/>
          <w:lang w:val="en-US" w:eastAsia="zh-CN"/>
        </w:rPr>
      </w:pPr>
      <w:r>
        <w:rPr>
          <w:rFonts w:hint="eastAsia" w:ascii="方正楷体_GBK" w:hAnsi="方正楷体_GBK" w:eastAsia="方正楷体_GBK" w:cs="方正楷体_GBK"/>
          <w:color w:val="auto"/>
          <w:sz w:val="32"/>
          <w:szCs w:val="32"/>
          <w:lang w:val="en-US" w:eastAsia="zh-CN"/>
        </w:rPr>
        <w:t>新华社受权于12日全文播发李强总理代表国务院在十四届全国人大三次会议上所作的《政府工作报告》。3月11日，十四届全国人大三次会议表决通过了关于政府工作报告的决议，批准了这个报告。</w:t>
      </w:r>
    </w:p>
    <w:p w14:paraId="2B53DCEC">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楷体_GBK" w:hAnsi="方正楷体_GBK" w:eastAsia="方正楷体_GBK" w:cs="方正楷体_GBK"/>
          <w:color w:val="auto"/>
          <w:sz w:val="32"/>
          <w:szCs w:val="32"/>
          <w:lang w:val="en-US" w:eastAsia="zh-CN"/>
        </w:rPr>
      </w:pPr>
      <w:r>
        <w:rPr>
          <w:rFonts w:hint="eastAsia" w:ascii="方正楷体_GBK" w:hAnsi="方正楷体_GBK" w:eastAsia="方正楷体_GBK" w:cs="方正楷体_GBK"/>
          <w:color w:val="auto"/>
          <w:sz w:val="32"/>
          <w:szCs w:val="32"/>
          <w:lang w:val="en-US" w:eastAsia="zh-CN"/>
        </w:rPr>
        <w:t>报告共分三个部分：一、2024年工作回顾；二、2025年经济社会发展总体要求和政策取向；三、2025年政府工作任务。</w:t>
      </w:r>
    </w:p>
    <w:p w14:paraId="4C491B6F">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楷体_GBK" w:hAnsi="方正楷体_GBK" w:eastAsia="方正楷体_GBK" w:cs="方正楷体_GBK"/>
          <w:color w:val="auto"/>
          <w:sz w:val="32"/>
          <w:szCs w:val="32"/>
          <w:lang w:val="en-US" w:eastAsia="zh-CN"/>
        </w:rPr>
        <w:t>报告指出，今年发展主要预期目标是：国内生产总值增长5%左右；城镇调查失业率5.5%左右，城镇新增就业1200万人以上；居民消费价格涨幅2%左右；居民收入增长和经济增长同步；国际收支保持基本平衡；粮食产量1.4万亿斤左右；单位国内生产总值能耗降低3%左右，生态环境质量持续改善。</w:t>
      </w:r>
    </w:p>
    <w:p w14:paraId="350408C5">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center"/>
        <w:textAlignment w:val="auto"/>
        <w:outlineLvl w:val="9"/>
        <w:rPr>
          <w:rFonts w:hint="eastAsia" w:ascii="方正黑体_GBK" w:hAnsi="方正黑体_GBK" w:eastAsia="方正黑体_GBK" w:cs="方正黑体_GBK"/>
          <w:color w:val="auto"/>
          <w:sz w:val="32"/>
          <w:szCs w:val="32"/>
          <w:lang w:val="en-US" w:eastAsia="zh-CN"/>
        </w:rPr>
      </w:pPr>
    </w:p>
    <w:p w14:paraId="1614693D">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center"/>
        <w:textAlignment w:val="auto"/>
        <w:outlineLvl w:val="9"/>
        <w:rPr>
          <w:rFonts w:hint="eastAsia" w:ascii="方正黑体_GBK" w:hAnsi="方正黑体_GBK" w:eastAsia="方正黑体_GBK" w:cs="方正黑体_GBK"/>
          <w:color w:val="auto"/>
          <w:sz w:val="32"/>
          <w:szCs w:val="32"/>
          <w:lang w:val="en-US" w:eastAsia="zh-CN"/>
        </w:rPr>
      </w:pPr>
      <w:r>
        <w:rPr>
          <w:rFonts w:hint="eastAsia" w:ascii="方正黑体_GBK" w:hAnsi="方正黑体_GBK" w:eastAsia="方正黑体_GBK" w:cs="方正黑体_GBK"/>
          <w:color w:val="auto"/>
          <w:sz w:val="32"/>
          <w:szCs w:val="32"/>
          <w:lang w:val="en-US" w:eastAsia="zh-CN"/>
        </w:rPr>
        <w:t>政府工作报告</w:t>
      </w:r>
    </w:p>
    <w:p w14:paraId="07EF4144">
      <w:pPr>
        <w:keepNext w:val="0"/>
        <w:keepLines w:val="0"/>
        <w:pageBreakBefore w:val="0"/>
        <w:widowControl w:val="0"/>
        <w:kinsoku/>
        <w:wordWrap/>
        <w:overflowPunct/>
        <w:topLinePunct w:val="0"/>
        <w:autoSpaceDE/>
        <w:autoSpaceDN/>
        <w:bidi w:val="0"/>
        <w:adjustRightInd w:val="0"/>
        <w:snapToGrid w:val="0"/>
        <w:spacing w:line="560" w:lineRule="exact"/>
        <w:ind w:right="0" w:firstLine="640" w:firstLineChars="200"/>
        <w:jc w:val="both"/>
        <w:textAlignment w:val="auto"/>
        <w:outlineLvl w:val="9"/>
        <w:rPr>
          <w:rFonts w:hint="eastAsia" w:ascii="方正楷体_GBK" w:hAnsi="方正楷体_GBK" w:eastAsia="方正楷体_GBK" w:cs="方正楷体_GBK"/>
          <w:color w:val="auto"/>
          <w:sz w:val="32"/>
          <w:szCs w:val="32"/>
          <w:lang w:val="en-US" w:eastAsia="zh-CN"/>
        </w:rPr>
      </w:pPr>
      <w:r>
        <w:rPr>
          <w:rFonts w:hint="eastAsia" w:ascii="方正楷体_GBK" w:hAnsi="方正楷体_GBK" w:eastAsia="方正楷体_GBK" w:cs="方正楷体_GBK"/>
          <w:color w:val="auto"/>
          <w:sz w:val="32"/>
          <w:szCs w:val="32"/>
          <w:lang w:val="en-US" w:eastAsia="zh-CN"/>
        </w:rPr>
        <w:t>——2025年3月5日在第十四届全国人民代表大会第三次会议上</w:t>
      </w:r>
    </w:p>
    <w:p w14:paraId="571A7304">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center"/>
        <w:textAlignment w:val="auto"/>
        <w:outlineLvl w:val="9"/>
        <w:rPr>
          <w:rFonts w:hint="eastAsia" w:ascii="方正楷体_GBK" w:hAnsi="方正楷体_GBK" w:eastAsia="方正楷体_GBK" w:cs="方正楷体_GBK"/>
          <w:color w:val="auto"/>
          <w:sz w:val="32"/>
          <w:szCs w:val="32"/>
          <w:lang w:val="en-US" w:eastAsia="zh-CN"/>
        </w:rPr>
      </w:pPr>
      <w:r>
        <w:rPr>
          <w:rFonts w:hint="eastAsia" w:ascii="方正楷体_GBK" w:hAnsi="方正楷体_GBK" w:eastAsia="方正楷体_GBK" w:cs="方正楷体_GBK"/>
          <w:color w:val="auto"/>
          <w:sz w:val="32"/>
          <w:szCs w:val="32"/>
          <w:lang w:val="en-US" w:eastAsia="zh-CN"/>
        </w:rPr>
        <w:t>国务院总理 李强</w:t>
      </w:r>
    </w:p>
    <w:p w14:paraId="7909CC26">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p>
    <w:p w14:paraId="56FBD524">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各位代表：</w:t>
      </w:r>
    </w:p>
    <w:p w14:paraId="36453C81">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现在，我代表国务院，向大会报告政府工作，请予审议，并请全国政协委员提出意见。</w:t>
      </w:r>
    </w:p>
    <w:p w14:paraId="1A76B9BC">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一、2024年工作回顾</w:t>
      </w:r>
    </w:p>
    <w:p w14:paraId="64BA8D1C">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过去一年，我国发展历程很不平凡。党的二十届三中全会胜利召开，对进一步全面深化改革、推进中国式现代化作出部署。我们隆重庆祝中华人民共和国成立75周年，极大激发了全国各族人民的爱国热情和奋斗精神。一年来，面对外部压力加大、内部困难增多的复杂严峻形势，在以习近平同志为核心的党中央坚强领导下，全国各族人民砥砺奋进、攻坚克难，经济运行总体平稳、稳中有进，全年经济社会发展主要目标任务顺利完成，高质量发展扎实推进，新质生产力稳步发展，我国经济实力、科技实力、综合国力持续增强，中国式现代化迈出新的坚实步伐，更加坚定了我们在新时代新征程全面建设社会主义现代化国家的决心和信心。</w:t>
      </w:r>
    </w:p>
    <w:p w14:paraId="007C9C58">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稳”的态势巩固延续。主要表现在，经济规模稳步扩大，国内生产总值达到134.9万亿元、增长5%，增速居世界主要经济体前列，对全球经济增长的贡献率保持在30%左右。就业、物价总体平稳，城镇新增就业1256万人、城镇调查失业率平均为5.1%，居民消费价格上涨0.2%。国际收支基本平衡，对外贸易规模创历史新高，国际市场份额稳中有升，外汇储备超过3.2万亿美元。民生保障扎实稳固，居民人均可支配收入实际增长5.1%，脱贫攻坚成果持续巩固拓展，义务教育、基本养老、基本医疗、社会救助等保障力度加大。重点领域风险化解有序有效，社会大局保持稳定。</w:t>
      </w:r>
    </w:p>
    <w:p w14:paraId="5DEB3824">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进”的步伐坚实有力。主要表现在，产业升级有新进展，粮食产量首次跃上1.4万亿斤新台阶、亩产提升10.1斤；高技术制造业、装备制造业增加值分别增长8.9%、7.7%，新能源汽车年产量突破1300万辆；信息传输软件和信息技术服务业、租赁和商务服务业增加值分别增长10.9%、10.4%。创新能力有新提升，集成电路、人工智能、量子科技等领域取得新成果；“嫦娥六号”实现人类首次月球背面采样返回，“梦想”号大洋钻探船建成入列；技术合同成交额增长11.2%。生态环境质量有新改善，地级及以上城市细颗粒物（PM2.5）平均浓度下降2.7%，优良天数比例上升至87.2%，地表水优良水质断面比例提高到90.4%；单位国内生产总值能耗降幅超过3%；可再生能源新增装机3.7亿千瓦。改革开放有新突破，扎实有力落实党的二十届二中、三中全会改革部署，机构改革全面完成，构建全国统一大市场、渐进式延迟法定退休年龄等重大改革举措陆续推出；制造业领域外资准入限制措施全部取消，共建“一带一路”贸易投资合作不断扩容升级。</w:t>
      </w:r>
    </w:p>
    <w:p w14:paraId="6FCAD96F">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回顾过去一年，成绩来之不易。外部环境变化带来的不利影响持续加深，国内长期积累的一些深层次结构性矛盾集中显现，内需不振、预期偏弱等问题交织叠加，局部地区洪涝等自然灾害频发，保持经济社会平稳运行的难度加大。面对多重困难挑战，我们加力实施存量政策，适时优化宏观调控，积极有效应对。特别是坚决贯彻落实9月26日中央政治局会议果断部署的一揽子增量政策，推动经济明显回升，社会信心有效提振，既促进了全年目标实现，也为今年发展奠定了良好基础。在这个过程中，我们深化了对经济工作的规律性认识，进一步认识到党中央集中统一领导是做好经济工作的根本保证，必须统筹好有效市场和有为政府、总供给和总需求、培育新动能和更新旧动能、做优增量和盘活存量、提升质量和做大总量的关系。实践再次表明，在以习近平同志为核心的党中央坚强领导下，全国上下聚力攻坚，我国发展没有闯不过的难关。</w:t>
      </w:r>
    </w:p>
    <w:p w14:paraId="08420B5A">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一年来，我们深入学习贯彻习近平新时代中国特色社会主义思想，坚定维护以习近平同志为核心的党中央权威和集中统一领导，把党的领导贯穿政府工作各方面全过程，全面贯彻落实党的二十大和二十届二中、三中全会精神，按照党中央决策部署，主要做了以下工作。</w:t>
      </w:r>
    </w:p>
    <w:p w14:paraId="48F049D9">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一是因时因势加强和创新宏观调控，推动经济回升向好。去年一季度经济开局良好，但受国内外多方面因素影响，进入二季度以后主要指标连续走低，下行压力加大。我们加强逆周期调节，聚焦突出问题针对性施策，紧抓存量和增量政策落实，推动需求较快回升，生产增长加快，市场预期明显改善，全年经济运行呈现前高、中低、后扬态势。有力实施财政货币政策，扩大支出规模，加强重点领域财力保障，两次下调存款准备金率和政策利率，社会融资成本进一步降低。围绕扩大有效需求，扎实推进“两重”建设，加力支持“两新”工作，设备购置投资增长15.7%，家电类商品零售额增长12.3%。推动房地产市场止跌回稳，下调住房贷款利率和首付比例，居民存量房贷利息年支出减少约1500亿元，降低交易环节税费水平，扎实推进保交房工作。积极稳定资本市场，加快完善基础性制度，创设互换便利、回购增持再贷款等工具，市场活跃度上升。一次性增加6万亿元地方专项债务限额置换存量隐性债务。稳妥推进地方中小金融机构改革化险。</w:t>
      </w:r>
    </w:p>
    <w:p w14:paraId="431D6A87">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二是坚定不移全面深化改革扩大开放，增强发展内生动力。清理废除妨碍全国统一市场的规定做法，制定实施公平竞争审查条例，出台规范地方招商引资的措施。深化国有企业改革，持续优化国有经济布局。提请全国人大常委会审议民营经济促进法草案，改善民营经济发展环境。积极拓展外贸新增长点，进出口结构不断优化，外贸出口对经济增长贡献增大。全面实施跨境服务贸易负面清单。开展增值电信、生物技术、独资医院开放试点。加大单边开放力度，对所有同中国建交的最不发达国家产品全面给予零关税待遇。扩大单方面免签国家范围，过境免签境内停留时间延长至240小时，入境旅游持续升温。高质量共建“一带一路”成效显著，一批重大工程、民生项目稳步实施。</w:t>
      </w:r>
    </w:p>
    <w:p w14:paraId="5D200127">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三是大力推动创新驱动发展，促进产业结构优化升级。推进科技强国建设，全面启动实施国家科技重大专项，加快完善重大科技基础设施体系，加强拔尖创新人才培养。稳定工业经济运行，推进制造业技术改造升级，制造业投资增长9.2%。新培育一批国家级先进制造业集群，商业航天、北斗应用、新型储能等新兴产业快速发展。制定修订环保、安全等强制性国家标准。加快数字中国建设，数字经济核心产业增加值占国内生产总值比重达到10%左右。</w:t>
      </w:r>
    </w:p>
    <w:p w14:paraId="43B57120">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四是统筹城乡区域协调发展，优化经济布局。出台实施新型城镇化战略五年行动计划，扎实推进城市更新，常住人口城镇化率提高到67%。坚持不懈夯实农业基础，防灾减灾和综合生产能力稳步提高，乡村全面振兴取得新成效。出台一批区域发展政策，实施一批区域重大项目，健全主体功能区制度政策，区域融合发展取得新进展。</w:t>
      </w:r>
    </w:p>
    <w:p w14:paraId="79B1A283">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五是积极发展社会事业，增进民生福祉。出台促进高质量充分就业的政策措施，强化对企业吸纳就业的支持，高校毕业生、脱贫人口、农民工等重点群体就业保持稳定。推进教育强国建设。提高义务教育阶段家庭经济困难学生生活补助标准。国家奖助学金提标扩面、助学贷款提额降息，惠及学生3400多万人次。巩固“双减”成果，持续优化基础教育生态。推进医疗机构检查检验结果互认，扩大基层慢性病、常见病用药种类。扎实做好重点传染病防治。扩大职工医保个人账户共济范围。提高城乡居民基础养老金和退休人员基本养老金。深化养老服务改革，制定促进银发经济发展的政策。强化残疾人权益保障。提高优抚补助标准。健全低保标准确定和调整机制，拓展救助对象范围。向困难群众发放一次性生活补助，惠及1100多万人。完善全国年节及纪念日放假办法。繁荣发展文化事业和文化产业，文化和旅游市场持续活跃。扎实筹办第九届亚洲冬季运动会，成功举办第十二届全国少数民族传统体育运动会，我国体育健儿在巴黎奥运会取得境外参赛最好成绩。</w:t>
      </w:r>
    </w:p>
    <w:p w14:paraId="1463EFB1">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六是持续加强生态环境保护，提升绿色低碳发展水平。强化生态环境综合治理，主要污染物排放量继续下降。深入实施重要生态系统保护和修复重大工程，荒漠化、沙化土地面积持续“双缩减”。生物多样性保护取得积极成效，大量珍稀濒危野生动植物种群稳步增长。推动重点行业节能降碳改造，推进新能源开发利用，非化石能源发电量占总发电量的比重接近40%。启动全国温室气体自愿减排交易市场。全国碳排放权交易更趋活跃。</w:t>
      </w:r>
    </w:p>
    <w:p w14:paraId="4E73CF77">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七是加强政府建设和治理创新，保持社会和谐稳定。贯彻落实党中央全面从严治党战略部署，严格落实中央八项规定精神，扎实开展党纪学习教育，大力整治形式主义、官僚主义，切实为基层减负，深入治理群众身边的不正之风，持续加强党风廉政建设和反腐败斗争。深入推进依法行政。提请全国人大常委会审议法律议案19件，制定修订行政法规28部。自觉依法接受监督。认真办理人大代表建议和政协委员提案。加强行政执法监督，规范涉企行政检查。推出两批“高效办成一件事”重点事项清单，推动线上线下服务能力整体提升。开展推动高质量发展综合督查。创新和完善社会治理。加强矛盾纠纷排查化解，推进信访工作法治化。强化应急管理和安全生产，开展燃气、电动自行车等安全隐患全链条专项整治。有效防范应对洪涝、台风、地震等自然灾害。完善国家安全体系。严防极端案事件发生，依法严惩恶性犯罪，全力保障人民群众生命财产安全和社会稳定。</w:t>
      </w:r>
    </w:p>
    <w:p w14:paraId="7AD36D8B">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过去一年，中国特色大国外交开创新局面。习近平主席等党和国家领导人出访多国，出席上海合作组织峰会、金砖国家领导人会晤、亚太经合组织领导人非正式会议、二十国集团领导人峰会、东亚合作领导人系列会议等重大多双边活动。成功举办中非合作论坛北京峰会、和平共处五项原则发表70周年纪念大会、中阿合作论坛部长级会议等重大主场外交活动。推动构建人类命运共同体，巩固拓展全球伙伴关系，坚持真正的多边主义，在应对全球性挑战和解决国际地区热点问题中发挥积极建设性作用。中国为促进世界和平与发展作出了重要贡献。</w:t>
      </w:r>
    </w:p>
    <w:p w14:paraId="768AAAD7">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过去一年取得的成绩，根本在于习近平总书记领航掌舵，在于习近平新时代中国特色社会主义思想科学指引，是以习近平同志为核心的党中央坚强领导的结果，是全党全军全国各族人民团结奋斗的结果。我代表国务院，向全国各族人民，向各民主党派、各人民团体和各界人士，表示衷心感谢！向香港特别行政区同胞、澳门特别行政区同胞、台湾同胞和海外侨胞，表示衷心感谢！向关心和支持中国现代化建设的各国政府、国际组织和各国朋友，表示衷心感谢！</w:t>
      </w:r>
    </w:p>
    <w:p w14:paraId="02295ABC">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在肯定成绩的同时，我们也清醒看到面临的问题和挑战。从国际看，世界百年变局加速演进，外部环境更趋复杂严峻，可能对我国贸易、科技等领域造成更大冲击。世界经济增长动能不足，单边主义、保护主义加剧，多边贸易体制受阻，关税壁垒增多，冲击全球产业链供应链稳定，对国际经济循环造成阻碍。地缘政治紧张因素依然较多，影响全球市场预期和投资信心，加剧国际市场波动风险。从国内看，经济回升向好基础还不稳固，有效需求不足，特别是消费不振。部分企业生产经营困难，账款拖欠问题仍较突出。群众就业增收面临压力。民生领域存在短板。一些地方基层财政困难。社会矛盾化解和风险防范工作还需要加强。政府效能和依法行政能力有待提升。一些工作协调配合不够，有的政策落地偏慢、效果不及预期。有的部门服务观念不强、办事效率不高。一些干部乱作为、不作为、不善为，一些领域和地方腐败问题依然多发。我们既要正视困难问题，更要坚定发展信心。我国具有显著的制度优势，有超大规模市场、完备产业体系、丰富人力人才资源等诸多优势条件，有长远规划、科学调控、上下协同的有效治理机制，有需求升级、结构优化、动能转换的广阔增量空间，经济长期向好的基本趋势没有改变也不会改变，我国经济航船必将乘风破浪、行稳致远！</w:t>
      </w:r>
    </w:p>
    <w:p w14:paraId="5D32316C">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二、2025年经济社会发展总体要求和政策取向</w:t>
      </w:r>
    </w:p>
    <w:p w14:paraId="260C89FE">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今年是“十四五”规划收官之年。做好政府工作，要在以习近平同志为核心的党中央坚强领导下，以习近平新时代中国特色社会主义思想为指导，全面贯彻落实党的二十大和二十届二中、三中全会精神，按照中央经济工作会议部署，坚持稳中求进工作总基调，完整准确全面贯彻新发展理念，加快构建新发展格局，扎实推动高质量发展，进一步全面深化改革，扩大高水平对外开放，建设现代化产业体系，更好统筹发展和安全，实施更加积极有为的宏观政策，扩大国内需求，推动科技创新和产业创新融合发展，稳住楼市股市，防范化解重点领域风险和外部冲击，稳定预期、激发活力，推动经济持续回升向好，不断提高人民生活水平，保持社会和谐稳定，高质量完成“十四五”规划目标任务，为实现“十五五”良好开局打牢基础。</w:t>
      </w:r>
    </w:p>
    <w:p w14:paraId="175533CA">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今年发展主要预期目标是：国内生产总值增长5%左右；城镇调查失业率5.5%左右，城镇新增就业1200万人以上；居民消费价格涨幅2%左右；居民收入增长和经济增长同步；国际收支保持基本平衡；粮食产量1.4万亿斤左右；单位国内生产总值能耗降低3%左右，生态环境质量持续改善。</w:t>
      </w:r>
    </w:p>
    <w:p w14:paraId="2C2148D4">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提出上述预期目标，综合考虑了国内外形势和各方面因素，兼顾了需要与可能。经济增长预期目标为5%左右，既是稳就业、防风险、惠民生的需要，也有经济增长潜力和有利条件支撑，并与中长期发展目标相衔接，突出迎难而上、奋发有为的鲜明导向。城镇调查失业率5.5%左右，体现了在就业总量和结构性矛盾更加突出背景下，加大稳就业力度的要求。居民消费价格涨幅2%左右，目的在于通过各项政策和改革共同作用，改善供求关系，使价格总水平处在合理区间。实现这些目标很不容易，必须付出艰苦努力。</w:t>
      </w:r>
    </w:p>
    <w:p w14:paraId="7E246CCB">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我们将坚持稳中求进、以进促稳，守正创新、先立后破，系统集成、协同配合，充实完善政策工具箱，根据形势变化动态调整政策，提高宏观调控的前瞻性、针对性、有效性。注重目标引领，把握政策取向，讲求时机力度，强化系统思维，提升宏观政策实施效能。</w:t>
      </w:r>
    </w:p>
    <w:p w14:paraId="61F3E726">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实施更加积极的财政政策。统筹安排收入、债券等各类财政资金，确保财政政策持续用力、更加给力。今年赤字率拟按4%左右安排、比上年提高1个百分点，赤字规模5.66万亿元、比上年增加1.6万亿元。一般公共预算支出规模29.7万亿元、比上年增加1.2万亿元。拟发行超长期特别国债1.3万亿元、比上年增加3000亿元。拟发行特别国债5000亿元，支持国有大型商业银行补充资本。拟安排地方政府专项债券4.4万亿元、比上年增加5000亿元，重点用于投资建设、土地收储和收购存量商品房、消化地方政府拖欠企业账款等。今年合计新增政府债务总规模11.86万亿元、比上年增加2.9万亿元，财政支出强度明显加大。要加快各项资金下达拨付，尽快形成实际支出。持续优化支出结构，更加注重惠民生、促消费、增后劲，切实提高资金使用效益。中央财政加大对地方一般性转移支付力度，向困难地区和欠发达地区倾斜。严格落实分级保障责任，筑牢兜实基层“三保”底线。坚持政府过紧日子，推进财政科学管理，严肃财经纪律，严禁铺张浪费，腾出更多资金用于发展所需、民生所盼。</w:t>
      </w:r>
    </w:p>
    <w:p w14:paraId="35169520">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实施适度宽松的货币政策。发挥好货币政策工具的总量和结构双重功能，适时降准降息，保持流动性充裕，使社会融资规模、货币供应量增长同经济增长、价格总水平预期目标相匹配。优化和创新结构性货币政策工具，更大力度促进楼市股市健康发展，加大对科技创新、绿色发展、提振消费以及民营、小微企业等的支持。进一步疏通货币政策传导渠道，完善利率形成和传导机制，落实无还本续贷政策，强化融资增信和风险分担等支持措施。推动社会综合融资成本下降，提升金融服务可获得性和便利度。保持人民币汇率在合理均衡水平上的基本稳定。拓展中央银行宏观审慎与金融稳定功能，创新金融工具，维护金融市场稳定。</w:t>
      </w:r>
    </w:p>
    <w:p w14:paraId="1F4F42EB">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强化宏观政策民生导向。坚持以人民为中心，经济政策的着力点更多转向惠民生、促消费，以消费提振畅通经济循环，以消费升级引领产业升级，在保障和改善民生中打造新的经济增长点。推动更多资金资源“投资于人”、服务于民生，支持扩大就业、促进居民增收减负、加强消费激励，形成经济发展和民生改善的良性循环。</w:t>
      </w:r>
    </w:p>
    <w:p w14:paraId="562DC0D5">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打好政策“组合拳”。加强财政、货币、就业、产业、区域、贸易、环保、监管等政策协同以及与改革开放举措的协调配合，增强政策合力。健全和用好宏观政策取向一致性评估工作机制，把经济政策和非经济性政策统一纳入一致性评估，统筹政策制定和执行全过程，提升政策目标、工具、时机、力度、节奏的匹配度。出台实施政策要能早则早、宁早勿晚，与各种不确定性抢时间，看准了就一次性给足，提高政策实效。加强上下联动、横向协作，促进政策从“最初一公里”到“最后一公里”衔接畅通。注重倾听市场声音，协同推进政策实施和预期引导，塑造积极的社会预期。</w:t>
      </w:r>
    </w:p>
    <w:p w14:paraId="2666BAE3">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完成好今年目标任务，必须深入贯彻习近平经济思想，紧抓高质量发展这个首要任务，坚持以质取胜和发挥规模效应相统一，实现质的有效提升和量的合理增长。坚定实施扩大内需战略，做大做强国内大循环，在扩大开放中拓展国际合作空间，实现国内国际双循环在更高水平上相互促进、良性互动。持续深化供给侧结构性改革，着力破解消费供给的结构性矛盾，更加注重以高质量供给引领需求、创造需求。坚持以进一步全面深化改革调动各方面积极性，激发全社会创新创造活力。</w:t>
      </w:r>
    </w:p>
    <w:p w14:paraId="131694D1">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三、2025年政府工作任务</w:t>
      </w:r>
    </w:p>
    <w:p w14:paraId="12A3EC1C">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今年经济社会发展任务十分繁重。我们要突出重点、把握关键，着重抓好以下几个方面工作。</w:t>
      </w:r>
    </w:p>
    <w:p w14:paraId="03DDD8CF">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（一）大力提振消费、提高投资效益，全方位扩大国内需求。促进消费和投资更好结合，加快补上内需特别是消费短板，使内需成为拉动经济增长的主动力和稳定锚。</w:t>
      </w:r>
    </w:p>
    <w:p w14:paraId="79A5B5B5">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实施提振消费专项行动。制定提升消费能力、增加优质供给、改善消费环境专项措施，释放多样化、差异化消费潜力，推动消费提质升级。多渠道促进居民增收，推动中低收入群体增收减负，完善劳动者工资正常增长机制。安排超长期特别国债3000亿元支持消费品以旧换新。从放宽准入、减少限制、优化监管等方面入手，扩大健康、养老、助残、托幼、家政等多元化服务供给。创新和丰富消费场景，加快数字、绿色、智能等新型消费发展。落实和优化休假制度，释放文化、旅游、体育等消费潜力。完善免税店政策，推动扩大入境消费。深化国际消费中心城市建设，健全县域商业体系。完善全口径消费统计制度。强化消费者权益保护，营造安全放心消费环境。</w:t>
      </w:r>
    </w:p>
    <w:p w14:paraId="230F118D">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积极扩大有效投资。紧扣国家发展战略和民生需求，发挥好各类政府投资工具作用，加强财政与金融配合，强化项目储备和要素保障，加快实施一批重点项目，推动“十四五”规划重大工程顺利收官。切实选准选好项目，管好用好资金，保障在建项目资金需求，坚决防止低效无效投资。今年中央预算内投资拟安排7350亿元。用好超长期特别国债，强化超长期贷款等配套融资，加强自上而下组织协调，更大力度支持“两重”建设。优化地方政府专项债券管理机制，实施好投向领域负面清单管理、下放项目审核权限等措施。简化投资审批流程，建立健全跨部门跨区域重大项目协调推进机制。加大服务业投资力度。支持和鼓励民间投资发展，规范实施政府和社会资本合作新机制，引导更多民间资本参与重大基础设施、社会民生等领域建设，让民间资本有更大发展空间。</w:t>
      </w:r>
    </w:p>
    <w:p w14:paraId="0AD73DA4">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（二）因地制宜发展新质生产力，加快建设现代化产业体系。推动科技创新和产业创新融合发展，大力推进新型工业化，做大做强先进制造业，积极发展现代服务业，促进新动能积厚成势、传统动能焕新升级。</w:t>
      </w:r>
    </w:p>
    <w:p w14:paraId="4BAB2314">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培育壮大新兴产业、未来产业。深入推进战略性新兴产业融合集群发展。开展新技术新产品新场景大规模应用示范行动，推动商业航天、低空经济、深海科技等新兴产业安全健康发展。建立未来产业投入增长机制，培育生物制造、量子科技、具身智能、6G等未来产业。深化先进制造业和现代服务业融合发展试点，加快发展服务型制造。加强产业统筹布局和产能监测预警，促进产业有序发展和良性竞争。加快国家高新区创新发展。梯度培育创新型企业，促进专精特新中小企业发展壮大，支持独角兽企业、瞪羚企业发展，让更多企业在新领域新赛道跑出加速度。</w:t>
      </w:r>
    </w:p>
    <w:p w14:paraId="2BC46CB0">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推动传统产业改造提升。加快制造业重点产业链高质量发展，强化产业基础再造和重大技术装备攻关。进一步扩范围、降门槛，深入实施制造业重大技术改造升级和大规模设备更新工程。加快制造业数字化转型，培育一批既懂行业又懂数字化的服务商，加大对中小企业数字化转型的支持。开展标准提升引领传统产业优化升级行动。深入推进制造业“增品种、提品质、创品牌”工作，加强全面质量管理，打造名品精品、经典产业。</w:t>
      </w:r>
    </w:p>
    <w:p w14:paraId="3B7080BA">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激发数字经济创新活力。持续推进“人工智能+”行动，将数字技术与制造优势、市场优势更好结合起来，支持大模型广泛应用，大力发展智能网联新能源汽车、人工智能手机和电脑、智能机器人等新一代智能终端以及智能制造装备。扩大5G规模化应用，加快工业互联网创新发展，优化全国算力资源布局，打造具有国际竞争力的数字产业集群。加快完善数据基础制度，深化数据资源开发利用，促进和规范数据跨境流动。促进平台经济规范健康发展，更好发挥其在促创新、扩消费、稳就业等方面的积极作用。</w:t>
      </w:r>
    </w:p>
    <w:p w14:paraId="3EE8E96F">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（三）深入实施科教兴国战略，提升国家创新体系整体效能。坚持创新引领发展，一体推进教育发展、科技创新、人才培养，筑牢中国式现代化的基础性、战略性支撑。</w:t>
      </w:r>
    </w:p>
    <w:p w14:paraId="204A3DA8">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加快建设高质量教育体系。制定实施教育强国建设三年行动计划。全面实施新时代立德树人工程，推进大中小学思政课一体化改革创新。深入实施基础教育扩优提质工程，健全与人口变化相适应的资源统筹调配机制。加强义务教育学校标准化建设，推动义务教育优质均衡发展，扩大高中阶段教育学位供给，提升县域高中质量，逐步推行免费学前教育。办好特殊教育、继续教育、专门教育，引导规范民办教育发展。推进职普融通、产教融合，增强职业教育适应性。分类推进高校改革，扎实推进优质本科扩容，加快“双一流”建设，完善学科设置调整机制和人才培养模式。积极开展学校体育活动，普及心理健康教育，关爱师生身心健康。弘扬教育家精神，建设高素质专业化教师队伍，加强师德师风建设和教师待遇保障。要紧紧围绕国家需求和群众关切推进教育改革发展，加快从教育大国向教育强国迈进。</w:t>
      </w:r>
    </w:p>
    <w:p w14:paraId="3D8D6C61">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推进高水平科技自立自强。充分发挥新型举国体制优势，强化关键核心技术攻关和前沿性、颠覆性技术研发，加快组织实施和超前布局重大科技项目。优化国家战略科技力量布局，推进科研院所改革，探索国家实验室新型科研组织模式，增强国际和区域科技创新中心辐射带动能力。推动科技支出向基础研究倾斜，完善竞争性支持和稳定支持相结合的投入机制，提高基础研究组织化程度。发挥科技领军企业龙头作用，加强企业主导的产学研深度融合，从制度上保障企业参与国家科技创新决策、承担重大科技项目。完善中央财政科技经费分配和管理使用机制。健全科技成果转化支持政策和市场服务，推进职务科技成果赋权和资产单列管理改革，提升科技成果转化效能。加强知识产权保护和运用。加快概念验证、中试验证和行业共性技术平台建设。健全创投基金差异化监管制度，强化政策性金融支持，加快发展创业投资、壮大耐心资本。扩大科技开放合作。加强科学普及工作，提升公民科学素质。弘扬科学家精神，推动形成鼓励探索、宽容失败的创新环境。</w:t>
      </w:r>
    </w:p>
    <w:p w14:paraId="3C7A7C31">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全面提高人才队伍质量。发挥人才高地和人才平台的辐射作用，加快建设国家战略人才力量，加强拔尖创新人才、重点领域急需紧缺人才和高技能人才培养。大力支持、大胆使用青年科技人才。弘扬工匠精神，建设一流产业技术工人队伍。完善海外引进人才支持保障机制，优化外籍人才服务。深化人才管理和使用制度改革，赋予用人单位更大自主权，推动产学研人才联合培养和交流。促进人才区域合理布局，加强东中西部人才协作，鼓励优秀人才在中西部地区建功立业。深化人才分类评价改革和科教界“帽子”治理，建立以创新能力、质量、实效、贡献为导向的人才评价体系，鼓励各类人才潜心钻研、厚积薄发。</w:t>
      </w:r>
    </w:p>
    <w:p w14:paraId="0BDA75DE">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（四）推动标志性改革举措加快落地，更好发挥经济体制改革牵引作用。扎实推进重点领域改革，着力破除制约发展的体制机制障碍，创造更加公平、更有活力的市场环境。</w:t>
      </w:r>
    </w:p>
    <w:p w14:paraId="1928090B">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有效激发各类经营主体活力。坚持和落实“两个毫不动摇”。高质量完成国有企业改革深化提升行动，实施国有经济布局优化和结构调整指引，加快建立国有企业履行战略使命评价制度。扎扎实实落实促进民营经济发展的法律法规和政策措施，切实依法保护民营企业和民营企业家合法权益，鼓励有条件的民营企业建立完善中国特色现代企业制度。加力推进清理拖欠企业账款工作，强化源头治理和失信惩戒，落实解决拖欠企业账款问题长效机制。深化政企常态化沟通交流，切实帮助企业解决实际困难和问题。多措并举精准支持个体工商户发展。开展规范涉企执法专项行动，集中整治乱收费、乱罚款、乱检查、乱查封，坚决防止违规异地执法和趋利性执法。政府要寓管理于服务之中，用服务的暖心增强企业的信心。</w:t>
      </w:r>
    </w:p>
    <w:p w14:paraId="5136E774">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纵深推进全国统一大市场建设。加快建立健全基础制度规则，破除地方保护和市场分割，打通市场准入退出、要素配置等方面制约经济循环的卡点堵点，综合整治“内卷式”竞争。实施全国统一大市场建设指引，修订出台新版市场准入负面清单，优化新业态新领域市场准入环境。制定重点领域公平竞争合规指引，改革完善招标投标体制机制。出台健全社会信用体系的政策，构建统一的信用修复制度。完善企业简易退出制度，逐步推广经营主体活动发生地统计。加快建设统一开放的交通运输市场，实施降低全社会物流成本专项行动。</w:t>
      </w:r>
    </w:p>
    <w:p w14:paraId="283F50E1">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深化财税金融体制改革。开展中央部门零基预算改革试点，支持地方深化零基预算改革，在支出标准、绩效评价等关键制度上积极创新。加快推进部分品目消费税征收环节后移并下划地方，增加地方自主财力。规范税收优惠政策。积极探索建立激励机制，促进地方在高质量发展中培育财源。严控财政供养人员规模。完善科技金融、绿色金融、普惠金融、养老金融、数字金融标准体系和基础制度。深化资本市场投融资综合改革，大力推动中长期资金入市，加强战略性力量储备和稳市机制建设。改革优化股票发行上市和并购重组制度。加快多层次债券市场发展。</w:t>
      </w:r>
    </w:p>
    <w:p w14:paraId="61843C5A">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（五）扩大高水平对外开放，积极稳外贸稳外资。无论外部环境如何变化，始终坚持对外开放不动摇，稳步扩大制度型开放，有序扩大自主开放和单边开放，以开放促改革促发展。</w:t>
      </w:r>
    </w:p>
    <w:p w14:paraId="424C5F56">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稳定对外贸易发展。加大稳外贸政策力度，支持企业稳订单拓市场。优化融资、结算、外汇等金融服务，扩大出口信用保险承保规模和覆盖面，强化企业境外参展办展支持。促进跨境电商发展，完善跨境寄递物流体系，加强海外仓建设。拓展境外经贸合作区功能，发展中间品贸易，开拓多元化市场。支持内外贸一体化发展，加快解决标准认证、市场渠道等方面问题。推动服务贸易创新发展，提升传统优势服务竞争力，鼓励服务出口，扩大优质服务进口。培育绿色贸易、数字贸易等新增长点，支持有条件的地方发展新型离岸贸易，积极发展边境贸易。高质量办好进博会、广交会、服贸会、数贸会、消博会等重大展会。推进智慧海关建设与合作，提升通关便利化水平。</w:t>
      </w:r>
    </w:p>
    <w:p w14:paraId="24754D41">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大力鼓励外商投资。推进服务业扩大开放综合试点示范，推动互联网、文化等领域有序开放，扩大电信、医疗、教育等领域开放试点。鼓励外国投资者扩大再投资，支持参与产业链上下游配套协作。切实保障外资企业在要素获取、资质许可、标准制定、政府采购等方面的国民待遇。加强外资企业服务保障，加快标志性项目落地，持续打造“投资中国”品牌。推动自贸试验区提质增效和扩大改革任务授权，加紧推进海南自由贸易港核心政策落地，完善经开区开放发展政策，促进综合保税区转型升级。持续营造市场化、法治化、国际化一流营商环境，让外资企业更好发展。</w:t>
      </w:r>
    </w:p>
    <w:p w14:paraId="3339A596">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推动高质量共建“一带一路”走深走实。统筹推进重大标志性工程和“小而美”民生项目建设，形成一批示范性合作成果。保障中欧班列稳定畅通运行，加快西部陆海新通道建设。引导对外投资健康安全有序发展，强化法律、金融、物流等海外综合服务，优化产业链供应链国际合作布局。</w:t>
      </w:r>
    </w:p>
    <w:p w14:paraId="2309967F">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深化多双边和区域经济合作。持续扩大面向全球的高标准自由贸易区网络，推动签署中国－东盟自贸区3.0版升级协定，积极推动加入《数字经济伙伴关系协定》和《全面与进步跨太平洋伙伴关系协定》进程。坚定维护以世界贸易组织为核心的多边贸易体制，扩大同各国利益的汇合点，促进共同发展。</w:t>
      </w:r>
    </w:p>
    <w:p w14:paraId="45B4B9DC">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（六）有效防范化解重点领域风险，牢牢守住不发生系统性风险底线。更好统筹发展和安全，坚持在发展中逐步化解风险，努力实现高质量发展和高水平安全的良性互动。</w:t>
      </w:r>
    </w:p>
    <w:p w14:paraId="4C56DF7A">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持续用力推动房地产市场止跌回稳。因城施策调减限制性措施，加力实施城中村和危旧房改造，充分释放刚性和改善性住房需求潜力。优化城市空间结构和土地利用方式，合理控制新增房地产用地供应。盘活存量用地和商办用房，推进收购存量商品房，在收购主体、价格和用途方面给予城市政府更大自主权。拓宽保障性住房再贷款使用范围。发挥房地产融资协调机制作用，继续做好保交房工作，有效防范房企债务违约风险。有序搭建相关基础性制度，加快构建房地产发展新模式。适应人民群众高品质居住需要，完善标准规范，推动建设安全、舒适、绿色、智慧的“好房子”。</w:t>
      </w:r>
    </w:p>
    <w:p w14:paraId="74ED5AC9">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稳妥化解地方政府债务风险。坚持在发展中化债、在化债中发展，完善和落实一揽子化债方案，优化考核和管控措施，动态调整债务高风险地区名单，支持打开新的投资空间。按照科学分类、精准置换的原则，做好地方政府隐性债务置换工作。完善政府债务管理制度，坚决遏制违规举债冲动。加快剥离地方融资平台政府融资功能，推动市场化转型和债务风险化解。</w:t>
      </w:r>
    </w:p>
    <w:p w14:paraId="49CF5D8C">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积极防范金融领域风险。按照市场化、法治化原则，一体推进地方中小金融机构风险处置和转型发展，综合采取补充资本金、兼并重组、市场退出等方式分类化解风险。完善中小金融机构功能定位和治理机制，推动实现差异化、内涵式发展。健全金融监管体系，加强跨部门合作，强化央地监管协同，保持对非法金融活动的高压严打态势。充实存款保险基金、金融稳定保障基金等化险资源。完善应对外部风险冲击预案，有效维护金融安全稳定。</w:t>
      </w:r>
    </w:p>
    <w:p w14:paraId="5120A056">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（七）着力抓好“三农”工作，深入推进乡村全面振兴。坚持农业农村优先发展，学习运用“千万工程”经验，完善强农惠农富农支持制度，千方百计推动农业增效益、农村增活力、农民增收入。</w:t>
      </w:r>
    </w:p>
    <w:p w14:paraId="1EAB9BD0">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持续增强粮食等重要农产品稳产保供能力。稳定粮食播种面积，主攻单产和品质提升。巩固大豆扩种成果，开发挖掘油料扩产潜力。推动棉糖胶等稳产提质。扶持畜牧业、渔业稳定发展，支持发展现代设施农业，全方位开发食物资源。严守耕地红线，严格占补平衡管理。高质量推进高标准农田建设、管护、利用，加强农田水利设施和现代化灌区建设，推进退化耕地治理和撂荒地复垦。深入实施种业振兴行动。加快先进适用农机装备研发应用和农业科技成果大面积推广。综合施策推动粮食等重要农产品价格保持在合理水平。启动中央统筹下的粮食产销区省际横向利益补偿，加大对产粮大县支持，保护种粮农民和粮食主产区积极性。各地区都要扛稳保障国家粮食安全责任，共同把饭碗端得更牢。</w:t>
      </w:r>
    </w:p>
    <w:p w14:paraId="55AEE1DA">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毫不松懈巩固拓展脱贫攻坚成果。提高监测帮扶效能，持续巩固提升“三保障”和饮水安全成果，确保不发生规模性返贫致贫。加强易地搬迁后续扶持，分类推进帮扶产业提质增效，加大就业帮扶力度，扩大以工代赈规模。深化东西部协作、定点帮扶、消费帮扶。健全脱贫攻坚国家投入形成资产的长效管理机制。统筹建立农村防止返贫致贫机制和低收入人口、欠发达地区分层分类帮扶制度，开展巩固拓展脱贫攻坚成果同乡村振兴有效衔接总体评估，完善过渡期后帮扶政策体系。</w:t>
      </w:r>
    </w:p>
    <w:p w14:paraId="0D3F3136">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扎实推进农村改革发展。巩固和完善农村基本经营制度，有序推进第二轮土地承包到期后再延长30年试点，扩大整省试点范围。完善承包地经营权流转价格形成机制，提高农业社会化服务质效。支持发展新型农村集体经济。创新乡村振兴投融资机制。壮大乡村人才队伍。深化集体林权、农垦、供销社、农业水价等改革。因地制宜推动兴业、强县、富民一体发展，做好“土特产”文章，发展林下经济，促进乡村特色产业延链增效、联农带农，拓宽农民增收渠道。加强文明乡风建设，丰富农民文化生活，推进农村移风易俗。持续改善农村基础设施、公共服务和人居环境，建设宜居宜业和美乡村。</w:t>
      </w:r>
    </w:p>
    <w:p w14:paraId="386430FF">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（八）推进新型城镇化和区域协调发展，进一步优化发展空间格局。完善实施区域协调发展战略机制，坚持以人为本提高城镇化质量水平，构建优势互补的区域经济布局和国土空间体系。</w:t>
      </w:r>
    </w:p>
    <w:p w14:paraId="11037591">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深入实施新型城镇化战略行动。科学有序推进农业转移人口市民化，全面推进常住地提供基本公共服务，强化随迁子女义务教育保障，推动将符合条件的农业转移人口纳入住房保障体系，畅通参加社会保险渠道。加快补齐县城基础设施和公共服务短板，大力发展县域经济，提高城乡规划、建设、治理融合水平。发展现代化都市圈、优化空间格局，提升超大特大城市现代化治理水平，促进大中小城市和小城镇协调发展。持续推进城市更新和城镇老旧小区改造，统筹城市低效用地再开发，加快健全城市防洪排涝体系，加强燃气、给排水、热力、地下管廊等建设和协同管理。发展数字化、智能化基础设施，完善无障碍适老化配套设施，提升社区综合服务功能，打造宜居、韧性、智慧城市。</w:t>
      </w:r>
    </w:p>
    <w:p w14:paraId="5C94141A">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加大区域战略实施力度。发挥区域协调发展战略、区域重大战略、主体功能区战略的叠加效应，积极培育新的增长极。深入实施西部大开发、东北全面振兴、中部地区加快崛起、东部地区加快推进现代化等战略。提升京津冀、长三角、粤港澳大湾区等经济发展优势区域的创新能力和辐射带动作用。深入推动长江经济带建设、黄河流域生态保护和高质量发展。支持经济大省挑大梁，在要素保障、科技创新、改革开放先行先试等方面制定支持政策。鼓励其他地区因地制宜、各展所长。高标准高质量推进雄安新区建设。推动成渝地区双城经济圈建设走深走实。深化东、中、西、东北地区产业协作，推动产业有序梯度转移。支持革命老区、民族地区加快发展，加强边疆地区建设，推进兴边富民、稳边固边。积极探索资源型地区转型发展新路径。大力发展海洋经济，建设全国海洋经济发展示范区。</w:t>
      </w:r>
    </w:p>
    <w:p w14:paraId="4D44D253">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（九）协同推进降碳减污扩绿增长，加快经济社会发展全面绿色转型。进一步深化生态文明体制改革，统筹产业结构调整、污染治理、生态保护、应对气候变化，推进生态优先、节约集约、绿色低碳发展。</w:t>
      </w:r>
    </w:p>
    <w:p w14:paraId="7FBB683B">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加强污染防治和生态建设。持续深入推进蓝天、碧水、净土保卫战。制定固体废物综合治理行动计划，加强新污染物协同治理和环境风险管控。深入实施生态环境分区管控，统筹推进山水林田湖草沙一体化保护和系统治理，全面推进以国家公园为主体的自然保护地体系建设，推动“三北”工程标志性战役取得重要成果。实施生物多样性保护重大工程，坚定推进长江十年禁渔。健全生态保护补偿和生态产品价值实现机制。积极推进美丽中国先行区建设，不断满足人民群众对良好生态环境新期待。</w:t>
      </w:r>
    </w:p>
    <w:p w14:paraId="2A93F529">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加快发展绿色低碳经济。完善支持绿色低碳发展的政策和标准体系，营造绿色低碳产业健康发展生态。深入实施绿色低碳先进技术示范工程，培育绿色建筑、绿色能源、绿色交通等新增长点。完善资源总量管理和全面节约制度，加强重点用能用水单位节能节水管理，有力有效管控高耗能项目。加强废弃物循环利用，大力推广再生材料使用，促进循环经济发展。健全绿色消费激励机制，推动形成绿色低碳的生产方式和生活方式。</w:t>
      </w:r>
    </w:p>
    <w:p w14:paraId="58C737C1">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积极稳妥推进碳达峰碳中和。扎实开展国家碳达峰第二批试点，建立一批零碳园区、零碳工厂。加快构建碳排放双控制度体系，扩大全国碳排放权交易市场行业覆盖范围。开展碳排放统计核算，建立产品碳足迹管理体系、碳标识认证制度，积极应对绿色贸易壁垒。加快建设“沙戈荒”新能源基地，发展海上风电，统筹就地消纳和外送通道建设。开展煤电低碳化改造试点示范。规划应对气候变化一揽子重大工程，积极参与和引领全球环境与气候治理。</w:t>
      </w:r>
    </w:p>
    <w:p w14:paraId="6EE00133">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（十）加大保障和改善民生力度，提升社会治理效能。加强普惠性、基础性、兜底性民生建设，稳步提高公共服务和社会保障水平，促进社会和谐稳定，不断增强人民群众获得感幸福感安全感。</w:t>
      </w:r>
    </w:p>
    <w:p w14:paraId="08496FEE">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更大力度稳定和扩大就业。就业是民生之本。要完善就业优先政策，加大各类资金资源统筹支持力度，促进充分就业、提高就业质量。实施重点领域、重点行业、城乡基层和中小微企业就业支持计划，用足用好稳岗返还、税费减免、就业补贴等政策。支持劳动密集型产业吸纳和稳定就业，统筹好新技术应用和岗位转换，创造新的就业机会。优化就业创业服务，拓宽高校毕业生等青年就业创业渠道，做好退役军人安置和就业服务，促进脱贫人口、农民工就业，强化大龄、残疾、较长时间失业等就业困难群体帮扶。加强灵活就业和新就业形态劳动者权益保障，推进扩大职业伤害保障试点。切实保障劳动者工资发放，清理整治欠薪，坚决纠正各类就业歧视。开展大规模职业技能提升培训行动，增加制造业、服务业紧缺技能人才供给。加快构建技能导向的薪酬分配制度，提高技能人才待遇水平，让多劳者多得、技高者多得、创新者多得。</w:t>
      </w:r>
    </w:p>
    <w:p w14:paraId="403AC6B2">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强化基本医疗卫生服务。实施健康优先发展战略，促进医疗、医保、医药协同发展和治理。深化以公益性为导向的公立医院改革，推进编制动态调整，建立以医疗服务为主导的收费机制，完善薪酬制度，优化绩效考核。改善病房和诊疗条件，以患者为中心持续改善医疗服务。促进优质医疗资源扩容下沉和区域均衡布局，实施医疗卫生强基工程。加强护理、儿科、病理、全科、老年医学专业队伍建设，完善精神卫生服务体系。优化药品和耗材集采政策，强化质量评估和监管，让人民群众用药更放心。健全药品价格形成机制，制定创新药目录，支持创新药和医疗器械发展。完善中医药传承创新发展机制，推动中医药事业和产业高质量发展。加强疾病预防控制体系建设，统筹做好重点传染病防控。居民医保和基本公共卫生服务经费人均财政补助标准分别再提高30元和5元。稳步推动基本医疗保险省级统筹，健全基本医疗保险筹资和待遇调整机制，深化医保支付方式改革，促进分级诊疗。全面建立药品耗材追溯机制，严格医保基金监管，让每一分钱都用于增进人民健康福祉。</w:t>
      </w:r>
    </w:p>
    <w:p w14:paraId="18AB34B2">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完善社会保障和服务政策。城乡居民基础养老金最低标准再提高20元，适当提高退休人员基本养老金。加快发展第三支柱养老保险，实施好个人养老金制度。积极应对人口老龄化，完善发展养老事业和养老产业政策机制，大力发展银发经济。加快发展智慧养老。推进社区支持的居家养老，强化失能老年人照护，加大对老年助餐服务、康复辅助器具购置和租赁支持力度，扩大普惠养老服务，推动农村养老服务发展。加快建立长期护理保险制度。制定促进生育政策，发放育儿补贴，大力发展托幼一体服务，增加普惠托育服务供给。稳妥实施渐进式延迟法定退休年龄改革。做好军人军属、退役军人和其他优抚对象优待抚恤工作。加强困境儿童、流动儿童和留守儿童关爱服务。做好重度残疾人托养照护服务，提升残疾预防和康复服务水平。加强低收入人口动态监测和常态化救助帮扶，完善分层分类社会救助体系，保障困难群众基本生活。</w:t>
      </w:r>
    </w:p>
    <w:p w14:paraId="756370DC">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加强精神文明建设。完善培育和践行社会主义核心价值观制度机制，推进群众性精神文明创建和公民道德建设。发展哲学社会科学、新闻出版、广播影视、文学艺术和档案等事业，加强智库建设。深化全民阅读活动。加强和改进未成年人思想道德建设。健全网络生态治理长效机制，发展积极健康的网络文化，推动新时代网络强国建设。完善公共文化服务体系，推动优质文化资源直达基层。健全文化产业体系和市场体系，加快发展新型文化业态，大力发展旅游业。推进文化遗产系统性保护，提升文物、非物质文化遗产保护利用和考古研究水平。扩大国际人文交流合作，全面提升国际传播效能。改革完善竞技体育管理体制和运行机制。办好第十五届全国运动会和第十二届世界运动会。积极发展冰雪运动和冰雪经济。推进群众身边的运动场地设施建设，广泛开展全民健身活动。加强青少年科学健身普及和健康干预，让年轻一代在运动中强意志、健身心。</w:t>
      </w:r>
    </w:p>
    <w:p w14:paraId="7BD2DCF5">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维护国家安全和社会稳定。全面贯彻总体国家安全观，完善维护国家安全体制机制，推进国家安全体系和能力现代化。落实维护社会稳定责任制，加强公共安全治理，强化基层应急基础和力量。深入实施安全生产治本攻坚三年行动，做好重点行业领域安全生产风险排查整治，坚决遏制重特大事故发生。严格食品药品监管，抓好校园学生餐、平台外卖安全监管。加强气象服务。做好洪涝、干旱、台风、森林草原火灾、地质灾害、地震等自然灾害防范应对。做好西藏定日县地震灾后恢复重建，提高重点地区房屋、基础设施抗震能力。健全城乡基层治理体系，加强乡镇街道服务管理力量，提高市域社会治理能力。全面深化事业单位改革。引导支持社会组织、人道救助、志愿服务、公益慈善等健康发展。发挥好行业协会商会行业自律作用。保障妇女、儿童、老年人、残疾人合法权益。坚持和发展新时代“枫桥经验”，推进基层综治中心规范化建设，持续推进信访工作法治化，进一步加强社会矛盾和风险隐患排查，把矛盾纠纷化解在基层、化解在萌芽状态。提升公共法律服务均衡性和可及性。健全社会心理服务体系和危机干预机制，培育自尊自信、理性平和、积极向上的社会心态。建设更高水平的平安中国，完善社会治安整体防控体系，依法严厉打击黑恶势力、电信网络诈骗等违法犯罪活动，保障人民群众安居乐业、社会安定有序。</w:t>
      </w:r>
    </w:p>
    <w:p w14:paraId="73BA7DA0">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今年将开展“十五五”规划编制工作。要深入分析“十五五”时期新的阶段性特征，科学确定发展目标，谋划好重大战略任务、重大政策举措、重大工程项目，更好发挥规划对经济社会发展的引领指导作用。</w:t>
      </w:r>
    </w:p>
    <w:p w14:paraId="7CF7027D">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应对新挑战、完成新任务，对政府工作提出新的更高要求。各级政府及其工作人员要深刻领悟“两个确立”的决定性意义，增强“四个意识”、坚定“四个自信”、做到“两个维护”，自觉在思想上政治上行动上同以习近平同志为核心的党中央保持高度一致。坚决扛起全面从严治党政治责任，深入贯彻中央八项规定精神，坚定不移推进政府党风廉政建设和反腐败斗争。全面提升政府履职能力，确保党中央决策部署不折不扣落实到位。</w:t>
      </w:r>
    </w:p>
    <w:p w14:paraId="36E05B9C">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加强法治政府建设。严格依照宪法法律履职尽责，推进政府机构、职能、权限、程序、责任法定化。自觉接受同级人大及其常委会的监督，自觉接受人民政协的民主监督，自觉接受社会和舆论监督。加强审计监督。坚持科学、民主、依法决策，加强政府立法审查，强化重大决策、规范性文件合法性审查。深化政务公开。推进严格规范公正文明执法，落实行政裁量权基准制度，健全维护群众利益的制度机制。支持工会、共青团、妇联等群团组织更好发挥作用。政府工作人员要恪尽职守、廉洁奉公，厉行法治、依法办事，确保党和人民赋予的权力始终用来为人民谋幸福。</w:t>
      </w:r>
    </w:p>
    <w:p w14:paraId="21B99510">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提升行政效能和水平。坚持求真务实，从实际出发解决问题。善于把党中央决策部署与自身实际结合起来，谋划牵引性、撬动性强的工作抓手和载体，提高创造性贯彻落实能力。加快数字政府建设，健全“高效办成一件事”重点事项清单管理和常态化推进机制，完善覆盖全国的一体化在线政务服务平台。强化正向激励，完善考核评价体系，持续整治形式主义为基层减负，切实把面向基层的多头重复、指标细碎、方式繁琐的督查检查考核减下来，让广大干部把更多时间和精力用到干实事上。各级政府工作人员要坚持干字当头、脚踏实地，创造更多经得起历史和人民检验的发展业绩。</w:t>
      </w:r>
    </w:p>
    <w:p w14:paraId="527C2A98">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我们要以铸牢中华民族共同体意识为主线，推进中华民族共同体建设，坚持和完善民族区域自治制度，不断推进民族团结进步事业，加快民族地区现代化建设步伐。坚持党的宗教工作基本方针，系统推进我国宗教中国化，加强宗教事务治理法治化。完善侨务工作机制，维护海外侨胞和归侨侨眷合法权益，汇聚海内外中华儿女共创辉煌的强大力量。</w:t>
      </w:r>
    </w:p>
    <w:p w14:paraId="0FD9A571">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过去一年，国防和军队建设取得新的重要进展。新的一年，我们要深入贯彻习近平强军思想，贯彻新时代军事战略方针，坚持党对人民军队的绝对领导，全面深入贯彻军委主席负责制，持续深化政治整训，全力打好实现建军一百年奋斗目标攻坚战。深入推进练兵备战，加快发展新质战斗力，构建中国特色现代军事理论体系，坚定捍卫国家主权、安全、发展利益。抓好军队建设“十四五”规划收官，加紧实施国防发展重大工程，加快推进网络信息体系建设。协力推进跨军地改革，优化国防科技工业体系和布局，健全一体化国家战略体系和能力建设工作机制。加强国防教育、国防动员和后备力量建设。各级政府要大力支持国防和军队建设，完善双拥工作机制，巩固和发展坚如磐石的军政军民团结。</w:t>
      </w:r>
    </w:p>
    <w:p w14:paraId="36C00F88">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我们要全面准确、坚定不移贯彻“一国两制”、“港人治港”、“澳人治澳”、高度自治的方针，维护宪法和基本法确定的特别行政区宪制秩序，落实“爱国者治港”、“爱国者治澳”原则。支持香港、澳门发展经济、改善民生，深化国际交往合作，更好融入国家发展大局，保持香港、澳门长期繁荣稳定。</w:t>
      </w:r>
    </w:p>
    <w:p w14:paraId="258CBFFA">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我们要坚持贯彻新时代党解决台湾问题的总体方略，坚持一个中国原则和“九二共识”，坚决反对“台独”分裂和外部势力干涉，推动两岸关系和平发展。完善促进两岸经济文化交流合作制度和政策，深化两岸融合发展，增进两岸同胞福祉，坚定不移推进祖国统一大业，携手共创民族复兴伟业。</w:t>
      </w:r>
    </w:p>
    <w:p w14:paraId="4B814C0D">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我们要坚持独立自主的和平外交政策，坚持走和平发展道路，坚定奉行互利共赢的开放战略，反对霸权主义和强权政治，反对一切形式的单边主义、保护主义，维护国际公平正义。中国愿同国际社会一道，倡导平等有序的世界多极化、普惠包容的经济全球化，推动落实全球发展倡议、全球安全倡议、全球文明倡议，积极参与全球治理体系改革和建设，推动构建人类命运共同体，共创世界和平发展的美好未来。</w:t>
      </w:r>
    </w:p>
    <w:p w14:paraId="2A0E8988">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宋体" w:hAnsi="宋体" w:eastAsia="宋体" w:cs="宋体"/>
          <w:i w:val="0"/>
          <w:iCs w:val="0"/>
          <w:caps w:val="0"/>
          <w:color w:val="333333"/>
          <w:spacing w:val="0"/>
          <w:sz w:val="19"/>
          <w:szCs w:val="19"/>
        </w:rPr>
      </w:pPr>
      <w:r>
        <w:rPr>
          <w:rFonts w:hint="eastAsia" w:ascii="方正仿宋_GBK" w:hAnsi="方正仿宋_GBK" w:eastAsia="方正仿宋_GBK" w:cs="方正仿宋_GBK"/>
          <w:color w:val="auto"/>
          <w:sz w:val="32"/>
          <w:szCs w:val="32"/>
          <w:lang w:val="en-US" w:eastAsia="zh-CN"/>
        </w:rPr>
        <w:t>各位代表！信心凝聚力量，实干谱写华章。我们要更加紧密地团结在以习近平同志为核心的党中央周围，高举中国特色社会主义伟大旗帜，以习近平新时代中国特色社会主义思想为指导，迎难而上、锐意进取，努力完成全年经济社会发展目标任务，确保“十四五”规划圆满收官，为以中国式现代化全面推进强国建设、民族复兴伟业不懈奋斗！</w:t>
      </w:r>
    </w:p>
    <w:p w14:paraId="41338F68">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lang w:val="en-US" w:eastAsia="zh-CN"/>
        </w:rPr>
      </w:pPr>
    </w:p>
    <w:p w14:paraId="7448C0FE">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default" w:ascii="方正仿宋_GBK" w:hAnsi="方正仿宋_GBK" w:eastAsia="方正仿宋_GBK" w:cs="方正仿宋_GBK"/>
          <w:color w:val="auto"/>
          <w:sz w:val="32"/>
          <w:szCs w:val="32"/>
          <w:lang w:val="en-US" w:eastAsia="zh-CN"/>
        </w:rPr>
        <w:sectPr>
          <w:pgSz w:w="11906" w:h="16838"/>
          <w:pgMar w:top="1984" w:right="1474" w:bottom="1644" w:left="1474" w:header="851" w:footer="992" w:gutter="0"/>
          <w:pgNumType w:fmt="numberInDash"/>
          <w:cols w:space="0" w:num="1"/>
          <w:rtlGutter w:val="0"/>
          <w:docGrid w:type="lines" w:linePitch="312" w:charSpace="0"/>
        </w:sectPr>
      </w:pPr>
      <w:r>
        <w:rPr>
          <w:rFonts w:hint="eastAsia" w:ascii="方正仿宋_GBK" w:hAnsi="方正仿宋_GBK" w:eastAsia="方正仿宋_GBK" w:cs="方正仿宋_GBK"/>
          <w:color w:val="auto"/>
          <w:sz w:val="32"/>
          <w:szCs w:val="32"/>
          <w:lang w:val="en-US" w:eastAsia="zh-CN"/>
        </w:rPr>
        <w:t>发布时间：2025年03月13日10:31 来源：新华社</w:t>
      </w:r>
    </w:p>
    <w:p w14:paraId="1167475E">
      <w:pPr>
        <w:pStyle w:val="2"/>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hint="eastAsia"/>
          <w:lang w:val="en-US" w:eastAsia="zh-CN"/>
        </w:rPr>
      </w:pPr>
      <w:bookmarkStart w:id="45" w:name="_GoBack"/>
      <w:bookmarkEnd w:id="45"/>
      <w:bookmarkStart w:id="20" w:name="_Toc6549"/>
      <w:bookmarkStart w:id="21" w:name="_Toc28317"/>
      <w:r>
        <w:rPr>
          <w:rFonts w:hint="eastAsia"/>
          <w:lang w:val="en-US" w:eastAsia="zh-CN"/>
        </w:rPr>
        <w:t>7.中央、市委部署深入贯彻中央八项规定精神学习教育工作</w:t>
      </w:r>
      <w:bookmarkEnd w:id="20"/>
    </w:p>
    <w:p w14:paraId="24E4CADC">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lang w:val="en-US" w:eastAsia="zh-CN"/>
        </w:rPr>
      </w:pPr>
    </w:p>
    <w:p w14:paraId="0446F75C">
      <w:pPr>
        <w:pStyle w:val="2"/>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lang w:val="en-US" w:eastAsia="zh-CN"/>
        </w:rPr>
      </w:pPr>
      <w:bookmarkStart w:id="22" w:name="_Toc28896"/>
      <w:bookmarkStart w:id="23" w:name="_Toc21957"/>
      <w:r>
        <w:rPr>
          <w:rFonts w:hint="eastAsia"/>
          <w:lang w:val="en-US" w:eastAsia="zh-CN"/>
        </w:rPr>
        <w:t>中央党的建设工作领导小组召开会议 研究部署深入贯彻中央八项规定精神学习教育工作 蔡奇主持并讲话 李希出席并讲话</w:t>
      </w:r>
      <w:bookmarkEnd w:id="22"/>
      <w:bookmarkEnd w:id="23"/>
    </w:p>
    <w:p w14:paraId="2E6A3D1F">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p>
    <w:p w14:paraId="5DE2B54C">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中央党的建设工作领导小组3月12日召开会议，学习贯彻习近平总书记关于深入贯彻中央八项规定精神学习教育的重要讲话和重要指示精神，研究部署学习教育工作。中共中央政治局常委、中央党的建设工作领导小组组长蔡奇主持会议并讲话，中共中央政治局常委、中央党的建设工作领导小组副组长李希出席会议并讲话。</w:t>
      </w:r>
    </w:p>
    <w:p w14:paraId="1411DF8A">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会议指出，党中央决定，自2025年全国两会后至7月在全党开展深入贯彻中央八项规定精神学习教育。习近平总书记高度重视，亲自谋划确定学习教育主题，发表重要讲话，作出重要指示，为开展学习教育指明了方向。近日，中共中央办公厅印发《关于在全党开展深入贯彻中央八项规定精神学习教育的通知》。要深入学习贯彻习近平总书记的重要讲话和重要指示精神，落实《通知》要求，深刻领悟“两个确立”的决定性意义，坚决做到“两个维护”，切实把思想和行动统一到党中央决策部署上来。</w:t>
      </w:r>
    </w:p>
    <w:p w14:paraId="12C572D7">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会议强调，开展深入贯彻中央八项规定精神学习教育，是巩固深化主题教育和党纪学习教育成果、纵深推进全面从严治党的重要举措，是密切党群干群关系、巩固党的执政基础的必然要求，是推进中国式现代化的有力保障。要充分认识这次学习教育的重要意义，教育引导党员、干部锲而不舍贯彻中央八项规定精神，推动党的作风持续向好，推动党中央各项决策部署落到实处，为推进中国式现代化贡献智慧和力量。</w:t>
      </w:r>
    </w:p>
    <w:p w14:paraId="0C9FDA83">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会议指出，要聚焦主题，注重实效，一体推进学查改，深入学习习近平总书记关于加强党的作风建设的重要论述和中央八项规定及其实施细则精神，系统总结党的十八大以来深入贯彻中央八项规定精神的成效和经验，全面深入查找贯彻中央八项规定及其实施细则精神方面存在的问题，结合实际加强警示教育，扎实推进集中整治，有针对性完善相关制度规定。坚持开门教育，自觉接受群众监督评判，确保学有质量、查有力度、改有成效。</w:t>
      </w:r>
    </w:p>
    <w:p w14:paraId="2251AF9A">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会议强调，各级党委（党组）要对学习教育负总责，既带头搞好自身学习教育，又切实扛起主体责任。坚持分类指导，推动问题的解决。突出抓好新提拔干部、年轻干部、关键岗位干部学习教育。充分发挥行业系统主管部门党组（党委）对本行业本系统学习教育的指导作用。要力戒形式主义，坚决摒弃应付思想、过关心态，坚决防止“两张皮”，注重宣传引导，推动学习教育有序有效开展。</w:t>
      </w:r>
    </w:p>
    <w:p w14:paraId="10C71594">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李干杰、李书磊、穆虹、姜信治出席会议。</w:t>
      </w:r>
    </w:p>
    <w:p w14:paraId="2917AEAA">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宋体" w:hAnsi="宋体" w:eastAsia="宋体" w:cs="宋体"/>
          <w:i w:val="0"/>
          <w:iCs w:val="0"/>
          <w:caps w:val="0"/>
          <w:color w:val="333333"/>
          <w:spacing w:val="0"/>
          <w:sz w:val="19"/>
          <w:szCs w:val="19"/>
        </w:rPr>
      </w:pPr>
      <w:r>
        <w:rPr>
          <w:rFonts w:hint="eastAsia" w:ascii="方正仿宋_GBK" w:hAnsi="方正仿宋_GBK" w:eastAsia="方正仿宋_GBK" w:cs="方正仿宋_GBK"/>
          <w:color w:val="auto"/>
          <w:sz w:val="32"/>
          <w:szCs w:val="32"/>
          <w:lang w:val="en-US" w:eastAsia="zh-CN"/>
        </w:rPr>
        <w:t>中央党的建设工作领导小组成员等参加会议。</w:t>
      </w:r>
    </w:p>
    <w:p w14:paraId="7872BB39">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发布时间：2025年03月12日 20:24 来源：新华社</w:t>
      </w:r>
    </w:p>
    <w:p w14:paraId="688909F6">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p>
    <w:p w14:paraId="6CF3342A">
      <w:pPr>
        <w:keepNext w:val="0"/>
        <w:keepLines w:val="0"/>
        <w:pageBreakBefore w:val="0"/>
        <w:widowControl w:val="0"/>
        <w:kinsoku/>
        <w:wordWrap/>
        <w:overflowPunct/>
        <w:topLinePunct w:val="0"/>
        <w:autoSpaceDE/>
        <w:autoSpaceDN/>
        <w:bidi w:val="0"/>
        <w:adjustRightInd w:val="0"/>
        <w:snapToGrid w:val="0"/>
        <w:spacing w:line="560" w:lineRule="exact"/>
        <w:ind w:right="0"/>
        <w:jc w:val="center"/>
        <w:textAlignment w:val="auto"/>
        <w:outlineLvl w:val="9"/>
        <w:rPr>
          <w:rFonts w:hint="eastAsia" w:ascii="方正黑体_GBK" w:hAnsi="方正黑体_GBK" w:eastAsia="方正黑体_GBK" w:cs="方正黑体_GBK"/>
          <w:color w:val="auto"/>
          <w:sz w:val="32"/>
          <w:szCs w:val="32"/>
          <w:lang w:val="en-US" w:eastAsia="zh-CN"/>
        </w:rPr>
      </w:pPr>
      <w:r>
        <w:rPr>
          <w:rFonts w:hint="eastAsia" w:ascii="方正黑体_GBK" w:hAnsi="方正黑体_GBK" w:eastAsia="方正黑体_GBK" w:cs="方正黑体_GBK"/>
          <w:color w:val="auto"/>
          <w:sz w:val="32"/>
          <w:szCs w:val="32"/>
          <w:lang w:val="en-US" w:eastAsia="zh-CN"/>
        </w:rPr>
        <w:t>市委常委会举行会议</w:t>
      </w:r>
    </w:p>
    <w:p w14:paraId="0A54CF6C">
      <w:pPr>
        <w:keepNext w:val="0"/>
        <w:keepLines w:val="0"/>
        <w:pageBreakBefore w:val="0"/>
        <w:widowControl w:val="0"/>
        <w:kinsoku/>
        <w:wordWrap/>
        <w:overflowPunct/>
        <w:topLinePunct w:val="0"/>
        <w:autoSpaceDE/>
        <w:autoSpaceDN/>
        <w:bidi w:val="0"/>
        <w:adjustRightInd w:val="0"/>
        <w:snapToGrid w:val="0"/>
        <w:spacing w:line="560" w:lineRule="exact"/>
        <w:ind w:right="0"/>
        <w:jc w:val="center"/>
        <w:textAlignment w:val="auto"/>
        <w:outlineLvl w:val="9"/>
        <w:rPr>
          <w:rFonts w:hint="eastAsia" w:ascii="方正黑体_GBK" w:hAnsi="方正黑体_GBK" w:eastAsia="方正黑体_GBK" w:cs="方正黑体_GBK"/>
          <w:color w:val="auto"/>
          <w:sz w:val="32"/>
          <w:szCs w:val="32"/>
          <w:lang w:val="en-US" w:eastAsia="zh-CN"/>
        </w:rPr>
      </w:pPr>
      <w:r>
        <w:rPr>
          <w:rFonts w:hint="eastAsia" w:ascii="方正黑体_GBK" w:hAnsi="方正黑体_GBK" w:eastAsia="方正黑体_GBK" w:cs="方正黑体_GBK"/>
          <w:color w:val="auto"/>
          <w:sz w:val="32"/>
          <w:szCs w:val="32"/>
          <w:lang w:val="en-US" w:eastAsia="zh-CN"/>
        </w:rPr>
        <w:t>深入学习贯彻习近平总书记重要讲话精神</w:t>
      </w:r>
    </w:p>
    <w:p w14:paraId="42E2794B">
      <w:pPr>
        <w:keepNext w:val="0"/>
        <w:keepLines w:val="0"/>
        <w:pageBreakBefore w:val="0"/>
        <w:widowControl w:val="0"/>
        <w:kinsoku/>
        <w:wordWrap/>
        <w:overflowPunct/>
        <w:topLinePunct w:val="0"/>
        <w:autoSpaceDE/>
        <w:autoSpaceDN/>
        <w:bidi w:val="0"/>
        <w:adjustRightInd w:val="0"/>
        <w:snapToGrid w:val="0"/>
        <w:spacing w:line="560" w:lineRule="exact"/>
        <w:ind w:right="0"/>
        <w:jc w:val="center"/>
        <w:textAlignment w:val="auto"/>
        <w:outlineLvl w:val="9"/>
        <w:rPr>
          <w:rFonts w:hint="eastAsia" w:ascii="方正黑体_GBK" w:hAnsi="方正黑体_GBK" w:eastAsia="方正黑体_GBK" w:cs="方正黑体_GBK"/>
          <w:color w:val="auto"/>
          <w:sz w:val="32"/>
          <w:szCs w:val="32"/>
          <w:lang w:val="en-US" w:eastAsia="zh-CN"/>
        </w:rPr>
      </w:pPr>
      <w:r>
        <w:rPr>
          <w:rFonts w:hint="eastAsia" w:ascii="方正黑体_GBK" w:hAnsi="方正黑体_GBK" w:eastAsia="方正黑体_GBK" w:cs="方正黑体_GBK"/>
          <w:color w:val="auto"/>
          <w:sz w:val="32"/>
          <w:szCs w:val="32"/>
          <w:lang w:val="en-US" w:eastAsia="zh-CN"/>
        </w:rPr>
        <w:t>部署我市开展深入贯彻中央八项规定精神学习教育工作</w:t>
      </w:r>
    </w:p>
    <w:p w14:paraId="70C8119D">
      <w:pPr>
        <w:keepNext w:val="0"/>
        <w:keepLines w:val="0"/>
        <w:pageBreakBefore w:val="0"/>
        <w:widowControl w:val="0"/>
        <w:kinsoku/>
        <w:wordWrap/>
        <w:overflowPunct/>
        <w:topLinePunct w:val="0"/>
        <w:autoSpaceDE/>
        <w:autoSpaceDN/>
        <w:bidi w:val="0"/>
        <w:adjustRightInd w:val="0"/>
        <w:snapToGrid w:val="0"/>
        <w:spacing w:line="560" w:lineRule="exact"/>
        <w:ind w:right="0"/>
        <w:jc w:val="center"/>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黑体_GBK" w:hAnsi="方正黑体_GBK" w:eastAsia="方正黑体_GBK" w:cs="方正黑体_GBK"/>
          <w:color w:val="auto"/>
          <w:sz w:val="32"/>
          <w:szCs w:val="32"/>
          <w:lang w:val="en-US" w:eastAsia="zh-CN"/>
        </w:rPr>
        <w:t>市委书记袁家军主持并讲话</w:t>
      </w:r>
    </w:p>
    <w:p w14:paraId="767973D6">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p>
    <w:p w14:paraId="612B9997">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3月14日下午，市委常委会举行会议，深入学习贯彻习近平总书记在中共中央政治局会议和中共中央政治局第十九次集体学习时的重要讲话精神，传达学习中央党的建设工作领导小组会议精神，研究部署我市开展深入贯彻中央八项规定精神学习教育等工作。</w:t>
      </w:r>
    </w:p>
    <w:p w14:paraId="59CFF80F">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市委书记袁家军主持会议并讲话。</w:t>
      </w:r>
    </w:p>
    <w:p w14:paraId="0C55FA8B">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会议指出，要深入学习贯彻习近平总书记在中共中央政治局会议上的重要讲话精神，清单化事项化抓好贯彻落实，做好企业帮扶、政策争取等工作，加快打造标志性成果，奋力夺取一季度“开门红”，为完成全年经济社会发展目标任务奠定坚实基础。要深入学习贯彻习近平总书记在中共中央政治局第十九次集体学习时的重要讲话精神，坚决扛牢政治责任，深刻把握平安中国建设取得的历史性成就，牢记平安中国建设为了人民，也依靠人民，坚定不移贯彻总体国家安全观，着力防范化解各类风险，强化社会治安整体防控，坚持党中央对国家安全工作、对政法工作的绝对领导，持续完善平安重庆建设“四梁八柱”，更好做到守一方平安、促一方发展。</w:t>
      </w:r>
    </w:p>
    <w:p w14:paraId="6EEC9BAD">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会议强调，习近平总书记高度重视在全党开展深入贯彻中央八项规定精神学习教育，亲自谋划确定学习教育主题，发表重要讲话，作出重要指示，为开展学习教育指明了方向。各级党组织和广大党员、干部要坚决把思想和行动统一到党中央决策部署上来，以学习教育为契机，锲而不舍贯彻中央八项规定及其实施细则精神，深入纠治“四风”顽瘴痼疾，持续整治特权思想和特权现象，坚决整治不作为乱作为慢作为假作为问题，不断提升党政机关公信力，以更加优良的作风坚决做到“总书记有号令、党中央有部署，重庆见行动”。要对标对表落实落细党中央关于学习教育的重要要求，坚持做到学字当头，把开展学习教育与贯彻落实习近平总书记视察重庆重要讲话重要指示精神紧密结合起来，动真碰硬查摆问题，扎实开展集中整治，认真抓好开门教育，引导党员干部切实增强落实习近平总书记殷殷嘱托、建设“六区一高地”的担当力执行力廉洁力，以实际行动坚决拥护“两个确立”，坚决做到“两个维护”。</w:t>
      </w:r>
    </w:p>
    <w:p w14:paraId="799860E3">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会议强调，要强化组织领导、做好统筹协调，各级党委（党组）负总责，做到开展学习教育同落实党中央决策部署和市委中心工作“两手抓”，力戒形式主义，注重宣传引导，营造崇尚优良作风、勤政为民的浓厚氛围，推动学习教育有序有效开展。</w:t>
      </w:r>
    </w:p>
    <w:p w14:paraId="0CBE6D8E">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会议还听取了第七届西洽会筹备工作情况、寸滩国际新城空间规划优化建议汇报，听取我市贯彻落实全国“扫黄打非”工作会议精神情况汇报，审议中共重庆市委2025年度政党协商（会议协商）计划。</w:t>
      </w:r>
    </w:p>
    <w:p w14:paraId="7FC2956E">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会议套开市委党的建设工作领导小组会议。</w:t>
      </w:r>
    </w:p>
    <w:p w14:paraId="5C35E83E">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default"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发布时间：2025年03月14日 19:39 来源：重庆发布</w:t>
      </w:r>
    </w:p>
    <w:p w14:paraId="1F94D510">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p>
    <w:p w14:paraId="4B200C35">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default" w:ascii="方正仿宋_GBK" w:hAnsi="方正仿宋_GBK" w:eastAsia="方正仿宋_GBK" w:cs="方正仿宋_GBK"/>
          <w:color w:val="auto"/>
          <w:sz w:val="32"/>
          <w:szCs w:val="32"/>
          <w:lang w:val="en-US" w:eastAsia="zh-CN"/>
        </w:rPr>
        <w:sectPr>
          <w:pgSz w:w="11906" w:h="16838"/>
          <w:pgMar w:top="1984" w:right="1474" w:bottom="1644" w:left="1474" w:header="851" w:footer="992" w:gutter="0"/>
          <w:pgNumType w:fmt="numberInDash"/>
          <w:cols w:space="0" w:num="1"/>
          <w:rtlGutter w:val="0"/>
          <w:docGrid w:type="lines" w:linePitch="312" w:charSpace="0"/>
        </w:sectPr>
      </w:pPr>
    </w:p>
    <w:p w14:paraId="2AE009A5">
      <w:pPr>
        <w:pStyle w:val="2"/>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hint="eastAsia"/>
          <w:lang w:val="en-US" w:eastAsia="zh-CN"/>
        </w:rPr>
      </w:pPr>
      <w:r>
        <w:rPr>
          <w:rFonts w:hint="eastAsia"/>
          <w:lang w:val="en-US" w:eastAsia="zh-CN"/>
        </w:rPr>
        <w:t>8.</w:t>
      </w:r>
      <w:bookmarkEnd w:id="19"/>
      <w:r>
        <w:rPr>
          <w:rFonts w:hint="eastAsia"/>
          <w:lang w:val="en-US" w:eastAsia="zh-CN"/>
        </w:rPr>
        <w:t>中国共产党第二十届中央纪律检查委员会第四次全体会议公报</w:t>
      </w:r>
      <w:bookmarkEnd w:id="21"/>
    </w:p>
    <w:p w14:paraId="1C4D31F4">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lang w:val="en-US" w:eastAsia="zh-CN"/>
        </w:rPr>
      </w:pPr>
    </w:p>
    <w:p w14:paraId="3AAD936A">
      <w:pPr>
        <w:pStyle w:val="2"/>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lang w:val="en-US" w:eastAsia="zh-CN"/>
        </w:rPr>
      </w:pPr>
      <w:bookmarkStart w:id="24" w:name="_Toc8920"/>
      <w:bookmarkStart w:id="25" w:name="_Toc17190"/>
      <w:r>
        <w:rPr>
          <w:rFonts w:hint="eastAsia"/>
          <w:lang w:val="en-US" w:eastAsia="zh-CN"/>
        </w:rPr>
        <w:t>中国共产党第二十届中央纪律检查委员会第四次全体会议公报</w:t>
      </w:r>
      <w:bookmarkEnd w:id="24"/>
      <w:bookmarkEnd w:id="25"/>
    </w:p>
    <w:p w14:paraId="1094A43C">
      <w:pPr>
        <w:keepNext w:val="0"/>
        <w:keepLines w:val="0"/>
        <w:pageBreakBefore w:val="0"/>
        <w:widowControl w:val="0"/>
        <w:kinsoku/>
        <w:wordWrap/>
        <w:overflowPunct/>
        <w:topLinePunct w:val="0"/>
        <w:autoSpaceDE/>
        <w:autoSpaceDN/>
        <w:bidi w:val="0"/>
        <w:adjustRightInd w:val="0"/>
        <w:snapToGrid w:val="0"/>
        <w:spacing w:line="560" w:lineRule="exact"/>
        <w:ind w:right="0"/>
        <w:jc w:val="center"/>
        <w:textAlignment w:val="auto"/>
        <w:outlineLvl w:val="9"/>
        <w:rPr>
          <w:rFonts w:hint="eastAsia" w:ascii="方正楷体_GBK" w:hAnsi="方正楷体_GBK" w:eastAsia="方正楷体_GBK" w:cs="方正楷体_GBK"/>
          <w:color w:val="auto"/>
          <w:sz w:val="32"/>
          <w:szCs w:val="32"/>
          <w:lang w:val="en-US" w:eastAsia="zh-CN"/>
        </w:rPr>
      </w:pPr>
      <w:r>
        <w:rPr>
          <w:rFonts w:hint="eastAsia" w:ascii="方正楷体_GBK" w:hAnsi="方正楷体_GBK" w:eastAsia="方正楷体_GBK" w:cs="方正楷体_GBK"/>
          <w:color w:val="auto"/>
          <w:sz w:val="32"/>
          <w:szCs w:val="32"/>
          <w:lang w:val="en-US" w:eastAsia="zh-CN"/>
        </w:rPr>
        <w:t>（2025年1月8日中国共产党第二十届中央纪律检查委员会第四次全体会议通过）</w:t>
      </w:r>
    </w:p>
    <w:p w14:paraId="43ECDA78">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中国共产党第二十届中央纪律检查委员会第四次全体会议，于2025年1月6日至8日在北京举行。出席这次全会的有中央纪委委员131人，列席247人。</w:t>
      </w:r>
    </w:p>
    <w:p w14:paraId="15536AF7">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中共中央总书记、国家主席、中央军委主席习近平出席全会并发表重要讲话。李强、赵乐际、王沪宁、蔡奇、丁薛祥、李希等党和国家领导人出席会议。</w:t>
      </w:r>
    </w:p>
    <w:p w14:paraId="3E770F4E">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全会由中央纪律检查委员会常务委员会主持。全会深入学习贯彻习近平新时代中国特色社会主义思想，全面贯彻落实党的二十大和二十届二中、三中全会精神，总结2024年纪检监察工作，部署2025年任务，审议通过了李希同志代表中央纪委常委会所作的《深入推进党风廉政建设和反腐败斗争，以全面从严治党新成效为推进中国式现代化提供坚强保障》工作报告。</w:t>
      </w:r>
    </w:p>
    <w:p w14:paraId="574BA4C2">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全会认真学习、深刻领会习近平总书记重要讲话。一致认为，讲话充分肯定过去一年全面从严治党取得的新进展新成效，从实现新时代新征程党的使命任务的战略高度，以高远的历史眼光深刻把握反腐败斗争基本规律，深刻分析当前反腐败斗争形势，旗帜鲜明澄清错误认识、廓清思想迷雾，对坚决打好反腐败斗争攻坚战、持久战、总体战提出明确要求，对以全面从严治党新成效为推进中国式现代化提供坚强保障作出战略部署，对纪检监察干部队伍寄予殷切期望。讲话高瞻远瞩、思想深邃、直面问题、振聋发聩，具有很强的政治性、思想性、指导性，为深入推进全面从严治党、党风廉政建设和反腐败斗争指明前进方向、提供重要遵循。一致表示，将以习近平总书记重要讲话精神为指引，坚定信心、敢于斗争，坚决扛起监督责任、推动落实主体责任，聚焦“国之大者”强化政治监督，坚定不移正风肃纪，以永远在路上的坚韧执着深入推进反腐败斗争，一体推进不敢腐、不能腐、不想腐，着力铲除腐败滋生的土壤和条件。要始终保持敬畏之心，加强纪检监察工作规范化法治化正规化建设，真正做到忠诚干净担当、敢于善于斗争。</w:t>
      </w:r>
    </w:p>
    <w:p w14:paraId="1CC70687">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全会指出，2024年，以习近平同志为核心的党中央坚持以党的自我革命引领伟大社会革命，团结带领全党全国各族人民凝心聚力、攻坚克难，中国式现代化迈出新的坚实步伐。中央纪委国家监委和各级纪检监察机关坚持以习近平新时代中国特色社会主义思想为指导，坚定拥护“两个确立”、坚决做到“两个维护”，围绕党和国家中心任务，持续深入强化政治监督、正风肃纪反腐，推动健全全面从严治党体系、完善党和国家监督体系，巩固拓展主题教育和教育整顿成果，推动新时代新征程纪检监察工作高质量发展取得新成效。中央纪委常委会把学习贯彻习近平新时代中国特色社会主义思想特别是习近平总书记关于党的自我革命的重要思想作为贯穿全年的主题主线，带动全系统深学细悟党的创新理论，坚定纪检监察工作正确方向。健全政治监督具体化、精准化、常态化机制，围绕党的二十届三中全会重大部署谋深做实政治监督，推动党中央大政方针落地见效。在党纪学习教育中努力走好“第一方阵”，认真学习领会习近平总书记关于全面加强党的纪律建设的重要论述，紧扣“六项纪律”逐条学习、深入研讨，引领全系统学深一层、熟知善用，推动全党学纪知纪明纪守纪。持续狠刹享乐主义、奢靡之风，重拳纠治形式主义、官僚主义，以常态长效治理确保贯彻落实中央八项规定精神走深走实。纵深推进反腐败斗争，深化拓展金融、国企、能源、烟草、医药、体育、基建工程和招投标等重点领域反腐，严肃查处政商勾连腐败，深入查处新型腐败和隐性腐败，坚持受贿行贿一起查，深化以案促改促治，有力铲除腐败滋生的土壤和条件。开展群众身边不正之风和腐败问题集中整治，以超常规举措惩治“蝇贪蚁腐”，坚决维护群众利益，巩固党的执政根基。深化政治巡视，对68家部门单位开展常规巡视，首次对金融领域开展联动巡视、对地级市提级巡视，做实边巡边查、立行立改，巡视巡察综合监督作用进一步彰显。完善纪检监察体制机制和法规制度体系，配合全国人大常委会做好监察法修改工作，全面推进数字纪检监察体系建设，促进制度优势更好转化为正风肃纪反腐效能。在肯定成绩的同时，实事求是分析了纪检监察工作和干部队伍建设存在的问题，要求高度重视、切实加以解决。</w:t>
      </w:r>
    </w:p>
    <w:p w14:paraId="4BA9BBF8">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全会强调，以中国式现代化全面推进强国建设、民族复兴伟业，对反腐败斗争提出了新的更高要求。纪检监察机关要切实把思想和行动统一到以习近平同志为核心的党中央对形势的准确判断、对任务的科学部署上来，深刻把握新时代反腐败斗争取得的历史性成就，坚定打赢反腐败这场攻坚战的必胜信心；深刻把握当前反腐败斗争仍然严峻复杂的形势，坚定打赢反腐败这场持久战的如磐恒心；深刻把握一体推进不敢腐、不能腐、不想腐方针方略，坚定打赢反腐败这场总体战的坚强决心。</w:t>
      </w:r>
    </w:p>
    <w:p w14:paraId="5CA71B51">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全会提出，2025年是“十四五”规划收官之年。做好今年工作，要坚持以习近平新时代中国特色社会主义思想为指导，全面贯彻落实党的二十大和二十届二中、三中全会精神，深入学习贯彻习近平总书记关于党的建设的重要思想、关于党的自我革命的重要思想，深刻领悟“两个确立”的决定性意义，增强“四个意识”、坚定“四个自信”、做到“两个维护”，坚持用改革精神和严的标准管党治党，推动落实全面从严治党政治责任，推动健全全面从严治党体系，纵深推进正风肃纪反腐，持续推进新时代新征程纪检监察工作高质量发展，以全面从严治党新成效为推进中国式现代化提供坚强保障。</w:t>
      </w:r>
    </w:p>
    <w:p w14:paraId="57573220">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第一，围绕党的二十届三中全会重大部署强化政治监督，着力推动进一步全面深化改革、推进中国式现代化行稳致远。坚决维护党中央对进一步全面深化改革的集中统一领导，紧紧围绕实现改革总目标和“七个聚焦”、13个分领域目标进展情况，细化实化监督内容，推动各级党组织聚力改革、狠抓落实。</w:t>
      </w:r>
    </w:p>
    <w:p w14:paraId="345CDE44">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第二，巩固深化党纪学习教育成果，着力推动形成遵规守纪、干事创业的良好氛围。在抓实党纪学习教育上巩固深化，突出重点内容、重点对象，推进纪律教育方式创新，引导党员干部把纪律内化于心、外化于行。在严格执行纪律上巩固深化，对违纪问题发现一起查处一起，切实维护纪律刚性、严肃性。在准确运用“四种形态”上巩固深化，贯彻惩前毖后、治病救人方针，发挥层层设防作用。</w:t>
      </w:r>
    </w:p>
    <w:p w14:paraId="22C6AA5C">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第三，健全不正之风和腐败问题同查同治机制，着力推动正风反腐一体深化。以“同查”严惩风腐交织问题，锲而不舍落实中央八项规定精神，一严到底纠治“四风”，聚焦顶风违纪、隐形变异、严重影响市场秩序、加重基层负担等问题，强化监督、深化治理；一刻不停惩治腐败，严查政治问题和经济问题交织的腐败案件，着重抓好金融、国企、能源、消防、烟草、医药、高校、体育、开发区、工程建设和招投标等领域系统整治，着力破解新型腐败和隐性腐败发现、取证、定性难题，严肃查处滥用职权、玩忽职守、违规决策造成国有资产重大损失问题，坚决查处那些老是拉干部下水、危害一方的行贿人，加大跨境腐败治理力度。以“同治”铲除风腐共性根源，加强对领导干部配偶、子女及其配偶违规经商办企业等情况的及时预警监督，推动构建党委统一领导、纪委组织协调、有关部门协同联动的政治生态分析研判机制，完善对重点行贿人联合惩戒机制，制定新时代廉洁文化建设三年行动计划（2025－2027年），讲好中国反腐败故事。以“查”、“治”贯通阻断风腐演变，制定关于推进不正之风和腐败问题同查同治的意见，以大数据信息化赋能正风反腐。</w:t>
      </w:r>
    </w:p>
    <w:p w14:paraId="7CB8AD1B">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第四，持续深化整治群众身边不正之风和腐败问题，着力推动改革发展成果更好更公平惠及广大人民群众。持续发力惩治“蝇贪蚁腐”，聚焦县以下这一关键环节、薄弱环节持续抓下去。深化“校园餐”、农村集体“三资”管理、乡村振兴资金使用监管、医保基金管理、养老服务等方面突出问题治理，扎实推进整治殡葬领域腐败乱象专项行动。指导各地选择民生痛点难点因地制宜开展整治，让群众可感可及。</w:t>
      </w:r>
    </w:p>
    <w:p w14:paraId="5E7AAD42">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第五，坚守政治巡视定位，着力推动巡视更加精准发现问题、有效解决问题。做实政治巡视，深入查找影响高质量发展的主要矛盾、落实改革部署中的重大偏差。科学统筹常规巡视、专项巡视、机动巡视和巡视“回头看”，灵活开展提级巡视。建立健全中央单位内部巡视与纪检监察监督贯通协调机制，深入推进对村巡察工作。进一步压实整改主体责任，完善整改督促机制，增强整改针对性、实效性。</w:t>
      </w:r>
    </w:p>
    <w:p w14:paraId="19278572">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第六，深化落实纪检监察体制改革任务，着力推动完善党的自我革命制度规范体系。深入落实党的二十届三中全会关于纪检监察体制改革战略部署，深化纪委监委机关内设机构、派驻机构改革，完成向中管企业全面派驻纪检监察组，推动有关派驻机构向驻在单位的下一级单位、部属高校和国务院国资委管理领导班子的中央企业“再派出”。协助党中央制定党委（党组）对下级“一把手”开展监督谈话工作办法，起草反跨境腐败法。以党内监督为主导、专责监督为主干、基层监督为支撑、各类监督贯通协调为保障，推动完善党和国家监督体系。</w:t>
      </w:r>
    </w:p>
    <w:p w14:paraId="74CE3C2F">
      <w:pPr>
        <w:keepNext w:val="0"/>
        <w:keepLines w:val="0"/>
        <w:pageBreakBefore w:val="0"/>
        <w:widowControl w:val="0"/>
        <w:kinsoku/>
        <w:wordWrap/>
        <w:overflowPunct/>
        <w:topLinePunct w:val="0"/>
        <w:autoSpaceDE/>
        <w:autoSpaceDN/>
        <w:bidi w:val="0"/>
        <w:adjustRightInd w:val="0"/>
        <w:snapToGrid w:val="0"/>
        <w:spacing w:line="540" w:lineRule="exact"/>
        <w:ind w:left="0" w:right="0" w:firstLine="641"/>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第七，强化全面从严治党政治责任，着力推动严的基调一贯到底。以“两个责任”抓纲带目，推动党委（党组）主体责任、职能部门监管责任、纪委（纪检组）监督责任同向发力，健全各负其责、统一协调的管党治党责任格局。督促各级党组织用系统思维、科学方法推进管党治党，进一步健全全面从严治党体系。</w:t>
      </w:r>
    </w:p>
    <w:p w14:paraId="3A2D4068">
      <w:pPr>
        <w:keepNext w:val="0"/>
        <w:keepLines w:val="0"/>
        <w:pageBreakBefore w:val="0"/>
        <w:widowControl w:val="0"/>
        <w:kinsoku/>
        <w:wordWrap/>
        <w:overflowPunct/>
        <w:topLinePunct w:val="0"/>
        <w:autoSpaceDE/>
        <w:autoSpaceDN/>
        <w:bidi w:val="0"/>
        <w:adjustRightInd w:val="0"/>
        <w:snapToGrid w:val="0"/>
        <w:spacing w:line="540" w:lineRule="exact"/>
        <w:ind w:left="0" w:right="0" w:firstLine="641"/>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第八，开展“纪检监察工作规范化法治化正规化建设年”行动，着力推动纪检监察铁军建设再上新台阶。加强政治建设，敬畏信仰、敬畏组织，始终不渝用习近平新时代中国特色社会主义思想武装头脑，始终不渝坚定拥护“两个确立”、坚决做到“两个维护”，始终不渝心怀“国之大者”，自觉把工作置于党和国家大局中谋划推进。加强能力建设，敬畏责任、敬畏使命，牢固树立和践行正确政绩观，坚守实事求是生命线，严格依规依纪依法，正确把握政策策略，准确定性量纪执法，实施加强组织建设三年行动计划，优化干部选育管用机制。加强作风建设，敬畏权力、敬畏人民，发扬斗争精神、担当精神、法治精神，在重大政治原则和大是大非问题上敢于交锋、勇于亮剑，确保党和人民赋予的权力不被滥用。加强廉洁建设，敬畏纪律、敬畏法律，以严管强约束，以严惩强震慑，以厚爱暖人心，加强日常管理监督，坚决清除害群之马，以更高标准、更严要求，打造忠诚干净担当、敢于善于斗争的纪检监察铁军。</w:t>
      </w:r>
    </w:p>
    <w:p w14:paraId="68289904">
      <w:pPr>
        <w:keepNext w:val="0"/>
        <w:keepLines w:val="0"/>
        <w:pageBreakBefore w:val="0"/>
        <w:widowControl w:val="0"/>
        <w:kinsoku/>
        <w:wordWrap/>
        <w:overflowPunct/>
        <w:topLinePunct w:val="0"/>
        <w:autoSpaceDE/>
        <w:autoSpaceDN/>
        <w:bidi w:val="0"/>
        <w:adjustRightInd w:val="0"/>
        <w:snapToGrid w:val="0"/>
        <w:spacing w:line="540" w:lineRule="exact"/>
        <w:ind w:left="0" w:right="0" w:firstLine="641"/>
        <w:jc w:val="both"/>
        <w:textAlignment w:val="auto"/>
        <w:outlineLvl w:val="9"/>
        <w:rPr>
          <w:rFonts w:hint="eastAsia" w:ascii="宋体" w:hAnsi="宋体" w:eastAsia="宋体" w:cs="宋体"/>
          <w:i w:val="0"/>
          <w:iCs w:val="0"/>
          <w:caps w:val="0"/>
          <w:color w:val="333333"/>
          <w:spacing w:val="0"/>
          <w:sz w:val="19"/>
          <w:szCs w:val="19"/>
        </w:rPr>
      </w:pPr>
      <w:r>
        <w:rPr>
          <w:rFonts w:hint="eastAsia" w:ascii="方正仿宋_GBK" w:hAnsi="方正仿宋_GBK" w:eastAsia="方正仿宋_GBK" w:cs="方正仿宋_GBK"/>
          <w:color w:val="auto"/>
          <w:sz w:val="32"/>
          <w:szCs w:val="32"/>
          <w:lang w:val="en-US" w:eastAsia="zh-CN"/>
        </w:rPr>
        <w:t>全会号召，要更加紧密团结在以习近平同志为核心的党中央周围，凝心聚力、奋发进取，以永不懈怠的精神状态推进新时代新征程纪检监察工作高质量发展，为以中国式现代化全面推进强国建设、民族复兴伟业提供坚强保障。</w:t>
      </w:r>
    </w:p>
    <w:p w14:paraId="3E1746B2">
      <w:pPr>
        <w:keepNext w:val="0"/>
        <w:keepLines w:val="0"/>
        <w:pageBreakBefore w:val="0"/>
        <w:widowControl w:val="0"/>
        <w:kinsoku/>
        <w:wordWrap/>
        <w:overflowPunct/>
        <w:topLinePunct w:val="0"/>
        <w:autoSpaceDE/>
        <w:autoSpaceDN/>
        <w:bidi w:val="0"/>
        <w:adjustRightInd w:val="0"/>
        <w:snapToGrid w:val="0"/>
        <w:spacing w:line="540" w:lineRule="exact"/>
        <w:ind w:right="0"/>
        <w:jc w:val="both"/>
        <w:textAlignment w:val="auto"/>
        <w:outlineLvl w:val="9"/>
        <w:rPr>
          <w:rFonts w:hint="eastAsia" w:ascii="方正仿宋_GBK" w:hAnsi="方正仿宋_GBK" w:eastAsia="方正仿宋_GBK" w:cs="方正仿宋_GBK"/>
          <w:color w:val="auto"/>
          <w:sz w:val="32"/>
          <w:szCs w:val="32"/>
          <w:lang w:val="en-US" w:eastAsia="zh-CN"/>
        </w:rPr>
        <w:sectPr>
          <w:pgSz w:w="11906" w:h="16838"/>
          <w:pgMar w:top="1984" w:right="1474" w:bottom="1644" w:left="1474" w:header="851" w:footer="992" w:gutter="0"/>
          <w:pgNumType w:fmt="numberInDash"/>
          <w:cols w:space="0" w:num="1"/>
          <w:rtlGutter w:val="0"/>
          <w:docGrid w:type="lines" w:linePitch="312" w:charSpace="0"/>
        </w:sectPr>
      </w:pPr>
      <w:r>
        <w:rPr>
          <w:rFonts w:hint="eastAsia" w:ascii="方正仿宋_GBK" w:hAnsi="方正仿宋_GBK" w:eastAsia="方正仿宋_GBK" w:cs="方正仿宋_GBK"/>
          <w:color w:val="auto"/>
          <w:sz w:val="32"/>
          <w:szCs w:val="32"/>
          <w:lang w:val="en-US" w:eastAsia="zh-CN"/>
        </w:rPr>
        <w:t>发布时间：2025年01月08日18:29 来源：新华社</w:t>
      </w:r>
    </w:p>
    <w:p w14:paraId="0AC83E2E">
      <w:pPr>
        <w:pStyle w:val="2"/>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hint="eastAsia"/>
          <w:lang w:val="en-US" w:eastAsia="zh-CN"/>
        </w:rPr>
      </w:pPr>
      <w:bookmarkStart w:id="26" w:name="_Toc18283"/>
      <w:r>
        <w:rPr>
          <w:rFonts w:hint="eastAsia"/>
          <w:lang w:val="en-US" w:eastAsia="zh-CN"/>
        </w:rPr>
        <w:t>9.中共中央办公厅印发《全国党员教育培训工作规划（2024—2028年）》</w:t>
      </w:r>
      <w:bookmarkEnd w:id="26"/>
    </w:p>
    <w:p w14:paraId="6E37D394">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lang w:val="en-US" w:eastAsia="zh-CN"/>
        </w:rPr>
      </w:pPr>
    </w:p>
    <w:p w14:paraId="7C1B0103">
      <w:pPr>
        <w:pStyle w:val="2"/>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lang w:val="en-US" w:eastAsia="zh-CN"/>
        </w:rPr>
      </w:pPr>
      <w:bookmarkStart w:id="27" w:name="_Toc25582"/>
      <w:bookmarkStart w:id="28" w:name="_Toc26414"/>
      <w:r>
        <w:rPr>
          <w:rFonts w:hint="eastAsia"/>
          <w:lang w:val="en-US" w:eastAsia="zh-CN"/>
        </w:rPr>
        <w:t>中共中央办公厅印发《全国党员教育培训工作规划（2024—2028年）》</w:t>
      </w:r>
      <w:bookmarkEnd w:id="27"/>
      <w:bookmarkEnd w:id="28"/>
    </w:p>
    <w:p w14:paraId="2F1BF247">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p>
    <w:p w14:paraId="62B644CE">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近日，中共中央办公厅印发了《全国党员教育培训工作规划（2024—2028年）》，并发出通知，要求各地区各部门结合实际认真贯彻落实。</w:t>
      </w:r>
    </w:p>
    <w:p w14:paraId="5A36CFE4">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《全国党员教育培训工作规划（2024—2028年）》全文如下。</w:t>
      </w:r>
    </w:p>
    <w:p w14:paraId="6800A33A">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为加强和改进党员教育培训工作，锻造过硬党员队伍，不断增强党的创造力、凝聚力、战斗力，根据《中国共产党章程》和《中国共产党党员教育管理工作条例》等党内法规，制定本规划。</w:t>
      </w:r>
    </w:p>
    <w:p w14:paraId="206977A3">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一、总体要求</w:t>
      </w:r>
    </w:p>
    <w:p w14:paraId="0E2AB28E">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坚持以习近平新时代中国特色社会主义思想为指导，深入贯彻党的二十大和二十届二中、三中全会精神，全面贯彻习近平总书记关于党的建设的重要思想、关于党的自我革命的重要思想，深入落实新时代党的建设总要求和新时代党的组织路线，以用党的创新理论武装全党为首要政治任务，以增强党性、提高素质、发挥作用为重点，坚持政治引领、分类指导、守正创新、服务大局，教育引导全体党员深刻领悟“两个确立”的决定性意义，增强“四个意识”、坚定“四个自信”、做到“两个维护”，开拓进取、干事创业，为以中国式现代化全面推进强国建设、民族复兴伟业提供思想政治保证和能力支撑。</w:t>
      </w:r>
    </w:p>
    <w:p w14:paraId="16242D56">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主要目标是：党的创新理论武装进一步深化，用习近平新时代中国特色社会主义思想凝心铸魂取得更大成效，广大党员对这一重要思想的科学体系、核心要义、实践要求和贯穿其中的立场观点方法理解把握更加完整准确全面，用以武装头脑、指导实践、推动工作更加坚定自觉。党员教育培训体系进一步完善，党员教育培训作用更加凸显，日常教育更加规范，常态化培训特别是基本培训机制更加健全，信息技术运用更加充分，上下联动、横向协同的工作格局更加完善。党员教育培训成效进一步提升，广大党员理想信念和政治立场更加坚定，初心使命更加牢固，纪律作风更加严实，党性修养和实践本领显著增强，先锋模范作用充分发挥，党员队伍建设质量不断提高。</w:t>
      </w:r>
    </w:p>
    <w:p w14:paraId="1BA1C288">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为实现以上目标，以习近平新时代中国特色社会主义思想为核心内容，在开展党内集中教育和抓好党员日常教育基础上，用5年左右时间，全面落实政治理论教育、政治教育和政治训练、党章党规党纪教育、党的宗旨教育、革命传统教育、形势政策教育、知识技能教育等基本任务，分级分类对党员开展有组织的专题培训，确保全体党员应训尽训。党员5年内参加各类集中学习培训累计不少于20天或160学时。基层党组织书记5年内参加各类集中学习培训累计不少于35天或280学时，其中每年参加县级以上党委举办的脱产培训累计一般不少于5天或40学时。党的创新理论教育学时应占总学时的50%以上。党员干部学时要求按照全国干部教育培训规划执行。对年老体弱、行动不便的党员，集中学习培训不作硬性要求。</w:t>
      </w:r>
    </w:p>
    <w:p w14:paraId="764F4104">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二、持续用习近平新时代中国特色社会主义思想统一全党思想意志行动</w:t>
      </w:r>
    </w:p>
    <w:p w14:paraId="34D7D7B6">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一）深化学习教育。突出学习贯彻习近平新时代中国特色社会主义思想主题主线，县级以上党委要加强统筹指导，持续推动党的创新理论武装走深走实。落实党的创新理论学习教育计划，各级党委（党组）要结合实际每年作出具体安排、精心组织实施，党支部要组织好集体学习和党员个人自学。党员教育培训机构要完善课程设置和教学方法，提高理论培训质量。党员要读原著、学原文、悟原理，学习《习近平著作选读》、《习近平谈治国理政》、《习近平新时代中国特色社会主义思想专题摘编》等重要著作，跟进学习习近平总书记最新重要讲话和重要论述，切实用党的创新理论凝心铸魂。</w:t>
      </w:r>
    </w:p>
    <w:p w14:paraId="0897FFA3">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二）加强解读阐释。及时推出习近平新时代中国特色社会主义思想系列党员教育培训课程，引导广大党员深学细悟党的创新理论。深化“党课开讲啦”活动，广泛组织讲党课和优秀党课展播，党员领导干部要结合党员思想和工作实际按要求定期讲党课。用好主流媒体和新兴媒体，面向基层党员开展生动鲜活的理论宣传教育。中央组织部要会同中央宣传部、中央党校（国家行政学院）等，适时推出解读阐释党的创新理论和路线方针政策的优质课件和读本。</w:t>
      </w:r>
    </w:p>
    <w:p w14:paraId="27F8515F">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三）健全和落实长效机制。各级党组织要巩固拓展学习贯彻习近平新时代中国特色社会主义思想主题教育成果，健全和落实以学铸魂、以学增智、以学正风、以学促干长效机制。把党的创新理论武装与理想信念教育、党性教育结合起来，组织党员重温入党誓词、过“政治生日”，用好红色资源，抓好党史学习教育。推进党纪学习教育常态化长效化，推动广大党员持续做到学纪知纪明纪守纪。注重理论学用转化，针对不同群体党员实际，开展设岗定责、承诺践诺等，引导党员立足岗位担当作为。深入开展“学习身边榜样”活动，激励广大党员创先争优，充分发挥先锋模范作用。</w:t>
      </w:r>
    </w:p>
    <w:p w14:paraId="54F1F528">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三、分级分类开展专题培训，教育引导党员在推进中国式现代化中建功立业</w:t>
      </w:r>
    </w:p>
    <w:p w14:paraId="7606E8F8">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四）突出专题培训的政治引领性和分类指导性。坚持把学习贯彻习近平新时代中国特色社会主义思想作为对党员开展专题培训的主题主线、首要任务和核心内容，针对党员所在领域行业的实际，引导其系统学习习近平新时代中国特色社会主义思想特别是习近平总书记关于本地区本部门工作的重要论述、重要讲话和重要指示批示精神。</w:t>
      </w:r>
    </w:p>
    <w:p w14:paraId="01D7E138">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五）农村党员培训。学习贯彻习近平总书记关于“三农”工作的重要论述，结合学习运用“千万工程”经验、推动乡村全面振兴等，注重实战技能培训，引导农村党员在服务群众中作表率、在承担急难险重任务时打头阵。各省（自治区、直辖市）党委要结合实际制定农村党员集中轮训计划，组织开展专题培训。</w:t>
      </w:r>
    </w:p>
    <w:p w14:paraId="6CB07447">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六）城市社区党员培训。学习贯彻习近平总书记关于基层治理的重要论述，结合提升城市基层党建引领基层治理效能等，引导城市社区党员提高参与基层治理、为民办事服务等方面能力。各省（自治区、直辖市）党委要结合实际制定城市社区党员专题培训计划，抓好组织实施。</w:t>
      </w:r>
    </w:p>
    <w:p w14:paraId="4C92AE2B">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七）机关党员培训。学习贯彻习近平总书记关于机关党建的重要讲话和重要指示批示精神，结合以深化党的建设制度改革推动机关党建高质量发展，建设让党中央放心、让人民群众满意的模范机关等，引导机关党员强化政治忠诚、提高政治能力，依法履职、廉洁从政、务实为民。各级党委（党组）要统筹用好干部教育培训成果，坚持抓机关带行业系统，延伸开展普通党员专题培训。</w:t>
      </w:r>
    </w:p>
    <w:p w14:paraId="4D6406BC">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八）事业单位党员培训。学习贯彻习近平文化思想和习近平总书记关于教育、科技、卫生健康工作等重要论述，结合深化事业单位改革、强化公共服务职能、推进社会事业发展等，引导事业单位党员增强思想觉悟、专业素养和职业道德，全心全意为人民服务。对宣传思想文化系统事业单位党员，结合坚持党管宣传、党管意识形态、党管媒体，建设社会主义文化强国，深化文化体制机制改革等，引导他们自觉增强脚力眼力脑力笔力，肩负起新时代文化使命。对教育系统党员，结合全面贯彻党的教育方针、加快建设教育强国、落实立德树人根本任务、办好人民满意的教育等，结合实施教育家精神铸魂强师行动，引导他们争做“四有”好老师的示范标杆，矢志为党育人、为国育才。对学生党员，注重把握其思想行为特点，坚持党的创新理论武装与思政课教育、社会实践有机结合，引导他们坚定理想信念，立报国强国大志向、做挺膺担当奋斗者。对科研机构党员，结合坚持“四个面向”的战略导向、加快建设科技强国、推进高水平科技自立自强、加快建设国家战略人才力量、统筹强化关键核心技术攻关等，引导他们弘扬科学家精神，爱党报国、敬业奉献。对医药卫生系统党员，结合贯彻新时代党的卫生健康工作方针、全面推进健康中国建设、深化医药卫生体制改革等，引导他们恪守医德医风医道，更好保障人民健康。各级党委（党组）要针对各类事业单位实际和公益性、服务性、专业性特点，组织开展党员专题培训。</w:t>
      </w:r>
    </w:p>
    <w:p w14:paraId="5FC68C83">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九）企业党员培训。学习贯彻习近平总书记关于国有企业改革发展和党的建设、促进民营经济发展、金融工作等重要论述，结合构建高水平社会主义市场经济体制、因地制宜发展新质生产力、建设现代化产业体系、加强新时代廉洁文化建设等，引导企业党员坚定信仰信念信心，为高质量发展贡献智慧和力量。对国有企业党员，结合深化国资国企改革、推动国有资本和国有企业做强做优做大等，引导他们增强责任感使命感，立足岗位建功立业。对金融企业党员，结合加快建设金融强国、坚定不移走中国特色金融发展之路、服务实体经济、防控金融风险、深化金融体制改革等，引导他们诚实守信、依法依规、服务人民，带头弘扬中国特色金融文化，守好中国特色现代金融体系的根和魂。各级党委（党组）要组织好所属（所辖）企业党员专题培训。</w:t>
      </w:r>
    </w:p>
    <w:p w14:paraId="4714186B">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十）新兴领域党员培训。学习贯彻习近平总书记关于“两个健康”和加强新经济组织、新社会组织、新就业群体党的建设等重要指示精神，结合加强思想政治引领，促进非公有制经济健康发展、非公有制经济人士健康成长，提高党的组织和工作覆盖质量，增强党在新兴领域的号召力凝聚力影响力等，引导党员强化党性观念和党的意识，激发内生动力和创新活力，提升职业技能，更好服务群众、奉献社会。各级党委（党组）要抓好新兴领域党员专题培训。</w:t>
      </w:r>
    </w:p>
    <w:p w14:paraId="3CADFABB">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四、创新方法载体，充分运用信息化手段推动党员教育培训工作提质增效</w:t>
      </w:r>
    </w:p>
    <w:p w14:paraId="47B16641">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十一）丰富党员教育培训方式方法。认真开展党委（党组）理论学习中心组学习、“三会一课”、主题党日，定期举办专题讲座、报告会等，严格落实民主生活会和组织生活会、民主评议党员、谈心谈话等制度，提高党员日常教育质量。规范脱产培训，灵活运用案例讨论、互动交流、现场体验等方法，分期分批组织实施。注重完善基本培训，运用视频集中培训等方式，让优质课件直达一线、覆盖基层，推动基层党组织有组织地开展集中学习研讨，与落实组织生活制度有机结合，不断增强实效性。</w:t>
      </w:r>
    </w:p>
    <w:p w14:paraId="6B2071FB">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十二）推进党员教育信息化平台建设。坚持规范有序、集约高效，加强各级各类党员教育信息化平台建设，强化教育培训功能。统筹推进共产党员教育平台一体化建设，开设共产党员网在线课堂，充分发挥共产党员网和中国干部网络学院、中央党校（国家行政学院）“网上党校”、“学习强国”学习平台等作用。引导基层党组织和广大党员规范网络学习行为，提高学网用网能力，在网络空间发挥积极作用。注重运用大数据等技术对党员参训情况进行动态分析，不断提高教育培训精准性。加强平台信息安全管理，严格落实网络安全责任制、网络安全等级保护和数据分类分级保护等制度，确保安全可控。</w:t>
      </w:r>
    </w:p>
    <w:p w14:paraId="78B7FE63">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五、加强组织实施</w:t>
      </w:r>
    </w:p>
    <w:p w14:paraId="38CBE2C1">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十三）明确工作责任。加强对党员教育培训工作的组织领导，压紧压实各级党委（党组）的主体责任、各基层单位党委和党总支的直接实施责任、党支部的具体组织责任，充分发挥组织部门的统筹协调和督促指导作用、宣传部门的内容提供和舆论引导作用、党校（行政学院）的优质课程课件供给保障作用，构建组织部门牵头抓总、相关职能部门齐抓共管、行业系统主管部门分工落实的工作格局。各级党委（党组）主要负责同志要认真履行第一责任人职责，研究部署党员教育培训重点工作，推动解决问题，确保任务落实。明确流动党员教育培训责任，流出地（单位）和流入地（单位）基层党组织联动抓好流动党员教育培训。</w:t>
      </w:r>
    </w:p>
    <w:p w14:paraId="6AB592AA">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十四）完善制度机制。优化党员教育培训工作机构职能，依规配强工作力量。以制度建设为重点，深入推进党员教育工作体系化建设。完善党员教育管理、作用发挥机制，加强党员教育培训与发展党员、管理监督服务党员衔接，强化党员教育培训与干部教育培训有效协同。加强基层党组织书记和党务工作者定期轮训，每年举办全国党员教育专题培训班，推动培训成果惠及广大党员。健全教育培训需求调研、激励约束等机制，激发党员参学参训内生动力。建立科学合理的党员调训机制，防止多头调训、重复培训。</w:t>
      </w:r>
    </w:p>
    <w:p w14:paraId="7F65725F">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十五）夯实基础支撑。建立健全党员教育培训师资聘任管理制度，分级分类建立并动态管理师资库。加强党员教育培训内容资源开发与供给，鼓励地方和部门、单位结合实际组织开发高质量特色教材和案例课程。发挥各级党校（行政学院）主渠道作用，规范和加强乡镇（街道）党校、现场教学点和远程教育站点建设，用好各类党员教育培训基地、党群服务中心等阵地。落实党员教育培训经费列入各级年度财政预算和各级党委留存党费主要用于教育培训党员等要求，形成稳定的经费保障机制。为革命老区、民族地区、边疆地区、乡村振兴重点帮扶地区党员教育培训工作提供必要保障。</w:t>
      </w:r>
    </w:p>
    <w:p w14:paraId="0EADFBE0">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十六）不断改进学风。坚持解放思想、实事求是、与时俱进、求真务实，坚持从严治教、从严治学，弘扬理论联系实际的马克思主义学风，严格培训纪律和学员管理，加强师德师风建设，厉行勤俭节约，讲求培训实效，反对形式主义、官僚主义，切实为基层减负，坚决防止“低级红”、“高级黑”。</w:t>
      </w:r>
    </w:p>
    <w:p w14:paraId="0A962983">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十七）强化督导评估。建立述学导学督学制度，实施党员脱产培训年度计划备案管理。把党员教育培训开展情况作为党委（党组）书记抓基层党建工作述职评议考核、巡视巡察、民主评议党员的重要内容，强化结果运用。各级党委（党组）要结合实际抓好本规划贯彻落实。中央组织部对本规划实施情况开展中期和5年总结评估工作。重大事项及时按程序向党中央请示报告。</w:t>
      </w:r>
    </w:p>
    <w:p w14:paraId="6C2AFF4B">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宋体" w:hAnsi="宋体" w:eastAsia="宋体" w:cs="宋体"/>
          <w:i w:val="0"/>
          <w:iCs w:val="0"/>
          <w:caps w:val="0"/>
          <w:color w:val="333333"/>
          <w:spacing w:val="0"/>
          <w:sz w:val="19"/>
          <w:szCs w:val="19"/>
        </w:rPr>
      </w:pPr>
      <w:r>
        <w:rPr>
          <w:rFonts w:hint="eastAsia" w:ascii="方正仿宋_GBK" w:hAnsi="方正仿宋_GBK" w:eastAsia="方正仿宋_GBK" w:cs="方正仿宋_GBK"/>
          <w:color w:val="auto"/>
          <w:sz w:val="32"/>
          <w:szCs w:val="32"/>
          <w:lang w:val="en-US" w:eastAsia="zh-CN"/>
        </w:rPr>
        <w:t>中国人民解放军和中国人民武装警察部队的党员教育培训工作，由中央军委根据本规划精神制定实施意见。</w:t>
      </w:r>
    </w:p>
    <w:p w14:paraId="383B01B8">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default" w:ascii="方正仿宋_GBK" w:hAnsi="方正仿宋_GBK" w:eastAsia="方正仿宋_GBK" w:cs="方正仿宋_GBK"/>
          <w:color w:val="auto"/>
          <w:sz w:val="32"/>
          <w:szCs w:val="32"/>
          <w:lang w:val="en-US" w:eastAsia="zh-CN"/>
        </w:rPr>
        <w:sectPr>
          <w:pgSz w:w="11906" w:h="16838"/>
          <w:pgMar w:top="1984" w:right="1474" w:bottom="1644" w:left="1474" w:header="851" w:footer="992" w:gutter="0"/>
          <w:pgNumType w:fmt="numberInDash"/>
          <w:cols w:space="0" w:num="1"/>
          <w:rtlGutter w:val="0"/>
          <w:docGrid w:type="lines" w:linePitch="312" w:charSpace="0"/>
        </w:sectPr>
      </w:pPr>
      <w:r>
        <w:rPr>
          <w:rFonts w:hint="eastAsia" w:ascii="方正仿宋_GBK" w:hAnsi="方正仿宋_GBK" w:eastAsia="方正仿宋_GBK" w:cs="方正仿宋_GBK"/>
          <w:color w:val="auto"/>
          <w:sz w:val="32"/>
          <w:szCs w:val="32"/>
          <w:lang w:val="en-US" w:eastAsia="zh-CN"/>
        </w:rPr>
        <w:t>发布时间：2025年02月27日17:52 来源：新华社</w:t>
      </w:r>
    </w:p>
    <w:p w14:paraId="10F2AF9E">
      <w:pPr>
        <w:pStyle w:val="2"/>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hint="eastAsia"/>
          <w:lang w:val="en-US" w:eastAsia="zh-CN"/>
        </w:rPr>
      </w:pPr>
      <w:bookmarkStart w:id="29" w:name="_Toc17820"/>
      <w:r>
        <w:rPr>
          <w:rFonts w:hint="eastAsia"/>
          <w:lang w:val="en-US" w:eastAsia="zh-CN"/>
        </w:rPr>
        <w:t>10.中共中央 国务院印发《教育强国建设规划纲要（2024—2035年）》</w:t>
      </w:r>
      <w:bookmarkEnd w:id="29"/>
    </w:p>
    <w:p w14:paraId="77556094">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lang w:val="en-US" w:eastAsia="zh-CN"/>
        </w:rPr>
      </w:pPr>
    </w:p>
    <w:p w14:paraId="2206CF32">
      <w:pPr>
        <w:pStyle w:val="2"/>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lang w:val="en-US" w:eastAsia="zh-CN"/>
        </w:rPr>
      </w:pPr>
      <w:bookmarkStart w:id="30" w:name="_Toc8544"/>
      <w:bookmarkStart w:id="31" w:name="_Toc6682"/>
      <w:r>
        <w:rPr>
          <w:rFonts w:hint="eastAsia"/>
          <w:lang w:val="en-US" w:eastAsia="zh-CN"/>
        </w:rPr>
        <w:t>中共中央 国务院印发《教育强国建设规划纲要（2024—2035年）》</w:t>
      </w:r>
      <w:bookmarkEnd w:id="30"/>
      <w:bookmarkEnd w:id="31"/>
    </w:p>
    <w:p w14:paraId="63E53296">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p>
    <w:p w14:paraId="511C5483">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近日，中共中央、国务院印发了《教育强国建设规划纲要（2024—2035年）》，并发出通知，要求各地区各部门结合实际认真贯彻落实。</w:t>
      </w:r>
    </w:p>
    <w:p w14:paraId="7DEC0DD1">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《教育强国建设规划纲要（2024—2035年）》主要内容如下。</w:t>
      </w:r>
    </w:p>
    <w:p w14:paraId="6D0943F5">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为深入贯彻党的二十大关于加快建设教育强国的战略部署，制定本规划纲要。</w:t>
      </w:r>
    </w:p>
    <w:p w14:paraId="245F4F91">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一、总体要求</w:t>
      </w:r>
    </w:p>
    <w:p w14:paraId="5E51E626">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坚持以习近平新时代中国特色社会主义思想为指导，深入贯彻党的二十大和二十届二中、三中全会精神，全面贯彻习近平总书记关于教育的重要论述，深刻领悟“两个确立”的决定性意义，坚决做到“两个维护”，坚持教育优先发展，全面贯彻党的教育方针，坚定不移走中国特色社会主义教育发展道路，坚持社会主义办学方向，全面把握教育的政治属性、人民属性、战略属性，落实立德树人根本任务，为党育人、为国育才，全面服务中国式现代化建设，扎根中国大地办教育，加快建设高质量教育体系，培养德智体美劳全面发展的社会主义建设者和接班人，加快建设具有强大思政引领力、人才竞争力、科技支撑力、民生保障力、社会协同力、国际影响力的中国特色社会主义教育强国，为建设社会主义现代化强国、全面推进中华民族伟大复兴提供有力支撑。</w:t>
      </w:r>
    </w:p>
    <w:p w14:paraId="6D7A9EC1">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工作中要做到：坚持党对教育事业的全面领导，突出促进公平、提高质量，强化战略引领、支撑发展，深化改革创新、协同融合，坚持自主自信、胸怀天下。正确处理支撑国家战略和满足民生需求、知识学习和全面发展、培养人才和满足社会需要、规范有序和激发活力、扎根中国大地和借鉴国际经验的关系，全面构建固本铸魂的思想政治教育体系、公平优质的基础教育体系、自强卓越的高等教育体系、产教融合的职业教育体系、泛在可及的终身教育体系、创新牵引的科技支撑体系、素质精良的教师队伍体系、开放互鉴的国际合作体系，实现由大到强的系统跃升。</w:t>
      </w:r>
    </w:p>
    <w:p w14:paraId="00B9D6E8">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主要目标是：到2027年，教育强国建设取得重要阶段性成效。各级教育普及水平持续巩固提升，高质量教育体系初步形成，人民群众教育获得感明显提升，人才自主培养质量全面提高，拔尖创新人才不断涌现，关键领域改革取得实质性进展，教育布局结构与经济社会和人口高质量发展需求更加契合，具有全球影响力的重要教育中心建设迈上新台阶。到2035年，建成教育强国。党对教育事业全面领导的制度体系和工作机制系统完备，高质量教育体系全面建成，基础教育普及水平和质量稳居世界前列，学习型社会全面形成，人民群众教育满意度显著跃升，教育服务国家战略能力显著跃升，教育现代化总体实现。</w:t>
      </w:r>
    </w:p>
    <w:p w14:paraId="00A9EFA8">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二、塑造立德树人新格局，培养担当民族复兴大任的时代新人</w:t>
      </w:r>
    </w:p>
    <w:p w14:paraId="00A150A4">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一）加强和改进新时代学校思想政治教育。坚持不懈用习近平新时代中国特色社会主义思想铸魂育人，加强习近平总书记关于教育的重要论述的学理阐释。实施新时代立德树人工程，坚持思政课建设与党的创新理论武装同步推进，加快构建以习近平新时代中国特色社会主义思想为核心内容的课程教材体系，把学校思想政治教育贯穿各学科体系、教学体系、教材体系、管理体系，融入思想道德、文化知识、社会实践教育，确保广大学生始终忠于党、忠于国家、忠于人民、忠于社会主义，坚定马克思主义信仰、中国特色社会主义信念、中华民族伟大复兴信心。开好讲好“习近平新时代中国特色社会主义思想概论”课，系统完善中小学思政课课程标准，整体优化设计高校思政课课程方案，推进大中小学思政课一体化改革创新。打造一批“大思政课”品牌。推动理想信念教育常态化制度化，加强社会主义核心价值观教育。加强党史、新中国史、改革开放史、社会主义发展史教育。深化爱国主义、集体主义、社会主义教育，开展中国共产党人精神谱系教育。坚定文化自信，加强社会主义先进文化、革命文化和中华优秀传统文化教育，分学段有序融入思想政治教育。加强铸牢中华民族共同体意识教育。完善党政领导干部进校园开展思想政治教育长效机制，开展教育系统党员教育基本培训。增强学校基层党组织政治功能和组织功能，发挥战斗堡垒作用。</w:t>
      </w:r>
    </w:p>
    <w:p w14:paraId="0AC3FDB6">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二）加强党的创新理论体系化学理化研究阐释和成果应用。深入阐释党的创新理论科学内涵和实践要求，建强马克思主义理论学科，构建学科体系、学术体系、话语体系。全面推动党的创新理论研究成果转化为相应的学科方向和课程教材，将新时代伟大变革成功案例及其蕴含的道理学理哲理融入学校思想政治教育。</w:t>
      </w:r>
    </w:p>
    <w:p w14:paraId="6A96AE69">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三）拓展实践育人和网络育人空间和阵地。统筹推动价值引领、实践体验、环境营造，探索课上课下协同、校内校外一体、线上线下融合的育人机制。组织学生体验感悟新时代生动实践和伟大成就，增加实践教学比重，充分发挥红色资源育人功能，支持学生参加红色研学之旅。推动思想政治工作和信息技术深度融合，打造网络思想政治教育特色品牌，加强青少年学生网络安全意识、文明素养、行为习惯等教育，塑造有利于青少年健康成长的网络空间和育人生态。</w:t>
      </w:r>
    </w:p>
    <w:p w14:paraId="5F4E173F">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四）促进学生健康成长、全面发展。深入实施素质教育，健全德智体美劳全面培养体系，加快补齐体育、美育、劳动教育短板。落实健康第一教育理念，实施学生体质强健计划，中小学生每天综合体育活动时间不低于2小时，加强校园足球建设，有效控制近视率、肥胖率。推进学校美育浸润行动。实施劳动习惯养成计划，提升学生动手实践能力、解决复杂问题能力和社会适应能力。普及心理健康教育，建立全国学生心理健康监测预警系统，分学段完善服务工作机制。加强宪法法治教育、国家安全教育、国防教育。深入实施青少年学生读书行动。</w:t>
      </w:r>
    </w:p>
    <w:p w14:paraId="7D3931C9">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五）打造培根铸魂、启智增慧的高质量教材。落实教材建设国家事权，体现党和国家意志。加强新时代马克思主义理论研究和建设工程重点教材建设。推进思政课教材建设。深入总结新时代伟大实践，推出“中国系列”原创教材，打造自主教材体系。开发一批基础教育科学教材，打造一批职业教育优质教材，建设一批本科和研究生一流核心教材，遴选引进一批理工农医学科前沿优质教材。加快推进教材数字化转型。完善教材管理体制，健全国家、地方、学校、出版单位分级分类负责机制。完善教材建设相关表彰奖励制度。规范教辅材料和课外读物管理。</w:t>
      </w:r>
    </w:p>
    <w:p w14:paraId="6025CEF9">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六）推广普及国家通用语言文字。实施国家通用语言文字普及攻坚和质量提升行动。提高全民语言文化素养。健全语言文字规范标准体系，建设新型国家语料库。开展语言国情国力调查。加强网络空间语言文字规范引导。深入实施国家语言文化传承发展系列工程。加强与港澳台语言文化交流。</w:t>
      </w:r>
    </w:p>
    <w:p w14:paraId="06BCA2D6">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三、办强办优基础教育，夯实全面提升国民素质战略基点</w:t>
      </w:r>
    </w:p>
    <w:p w14:paraId="1747FA86">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七）健全与人口变化相适应的基础教育资源统筹调配机制。深入实施基础教育扩优提质工程。探索逐步扩大免费教育范围。建立基础教育各学段学龄人口变化监测预警制度，优化中小学和幼儿园布局。提高教育公共服务质量和水平，提升普惠性、可及性、便捷性，加强近期和中长期教育资源统筹配置。建立“市县结合”的基础教育管理体制，因地制宜打通使用各学段教育资源，加强跨学段动态调整和余缺调配，扩大学龄人口净流入城镇教育资源供给。支持人口20万以上县（市、区、旗）办好一所达到标准的特殊教育学校，鼓励有条件的地区建设十五年一贯制特殊教育学校。加强专门学校建设和专门教育工作。</w:t>
      </w:r>
    </w:p>
    <w:p w14:paraId="20335022">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八）推动义务教育优质均衡发展和城乡一体化。加强义务教育学校标准化建设，逐步缩小城乡、区域、校际、群体差距。促进学校优秀领导人员和骨干教师区域内统筹调配、交流轮岗。有序推进小班化教学。提升寄宿制学校办学条件和管理水平，办好必要的乡村小规模学校。推动符合条件的农业转移人口随迁子女义务教育享有同迁入地户籍人口同等权利，健全留守儿童、残疾儿童关爱体系和工作机制，健全控辍保学常态化机制。持续做好国家乡村振兴重点帮扶县教育人才“组团式”帮扶工作。深入开展县域义务教育优质均衡督导评估，有序推进市域义务教育优质均衡发展。</w:t>
      </w:r>
    </w:p>
    <w:p w14:paraId="69848971">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九）促进学前教育普及普惠和高中阶段学校多样化发展。稳步增加公办幼儿园学位供给，落实和完善普惠性民办幼儿园扶持政策。支持有条件的幼儿园招收2至3岁幼儿。统筹推进市域内高中阶段学校多样化发展，加快扩大普通高中教育资源供给。探索设立一批以科学教育为特色的普通高中，办好综合高中。深入实施县域普通高中振兴计划。</w:t>
      </w:r>
    </w:p>
    <w:p w14:paraId="02E30720">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十）统筹推进“双减”和教育教学质量提升。巩固校外培训治理成果，严控学科类培训，规范非学科类培训。坚持依法治理，加强数字化、全流程管理。强化学校教育主阵地作用，全面提升课堂教学水平，加强对学习困难学生的辅导。压减重复性作业，减少日常考试测试频次。提高课后服务质量，丰富服务内容。加强科学教育，强化核心素养培育。</w:t>
      </w:r>
    </w:p>
    <w:p w14:paraId="01BF15FC">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四、增强高等教育综合实力，打造战略引领力量</w:t>
      </w:r>
    </w:p>
    <w:p w14:paraId="36C28F73">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十一）分类推进高校改革发展。实施高等教育综合改革试点。按照研究型、应用型、技能型等基本办学定位，区分综合性、特色化基本方向，明确各类高校发展定位，支持理工农医、人文社科、艺术体育等高校差异化发展。建立分类管理、分类评价机制，在办学条件、招生计划、学位点授权、经费投入等方面分类支持。根据不同类型高校功能定位、实际贡献、特色优势，建立资源配置激励机制，引导高校在不同领域不同赛道发挥优势、办出特色。</w:t>
      </w:r>
    </w:p>
    <w:p w14:paraId="072E302A">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十二）优化高等教育布局。统筹中央部门所属高校和地方高校发展。加大高水平研究型大学建设力度，加快推进地方高校应用型转型。支持部省合建高校加快发展，优化省部共建高校区域布局。新增高等教育资源适度向中西部地区、民族地区倾斜。完善对口支援工作机制。鼓励国外高水平理工类大学来华合作办学。支持高校改善学生宿舍等办学条件。有序扩大优质本科教育招生规模，扩大研究生培养规模，稳步提高博士研究生占比，大力发展专业学位研究生教育。</w:t>
      </w:r>
    </w:p>
    <w:p w14:paraId="27A9CB84">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十三）加快建设中国特色、世界一流的大学和优势学科。围绕中国式现代化的本质要求，自主科学确定“双一流”标准，聚焦优势学科适度扩大“双一流”建设范围。完善质量、特色、贡献导向的监测评价体系，健全动态调整和多元投入机制，加大资源配置力度。建立科技发展、国家战略需求牵引的学科设置调整机制和人才培养模式。实施一流学科培优行动，推动学科融合发展，超常布局急需学科专业，加强基础学科、新兴学科、交叉学科建设，支持濒危学科和冷门学科。深化博士研究生教育改革，打造具有全球影响力的博士研究生教育，不断提升自主培养、吸引集聚高层次人才的能力。</w:t>
      </w:r>
    </w:p>
    <w:p w14:paraId="34EEDC35">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十四）完善拔尖创新人才发现和培养机制。着力加强创新能力培养，面向中小学生实施科学素养培育“沃土计划”；面向具有创新潜质的高中学生实施“脱颖计划”等。在战略急需和新兴领域，探索国家拔尖创新人才培养新模式。深化新工科、新医科、新农科、新文科建设，强化科技教育和人文教育协同，推进理工结合、工工贯通、医工融合、农工交叉，建强国家卓越工程师学院、国家产教融合创新平台等，深入实施国家卓越医师人才培养计划。打造一流核心课程、教材、实践项目和师资团队。</w:t>
      </w:r>
    </w:p>
    <w:p w14:paraId="191E95F7">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十五）构建中国哲学社会科学自主知识体系。聚焦中国式现代化建设重大理论和实践问题，以党的创新理论引领哲学社会科学知识创新、理论创新、方法创新，构建以各学科标识性概念、原创性理论为主干的自主知识体系。实施习近平新时代中国特色社会主义思想研究、中国特色哲学社会科学研究重大专项，加快自主知识体系构建步伐，覆盖哲学社会科学所有一级学科。完善以实践为导向的法学院校教育培养机制。推进哲学社会科学创新平台和创新团队建设，加强全国重点马克思主义学院建设，建好高校哲学社会科学实验室。</w:t>
      </w:r>
    </w:p>
    <w:p w14:paraId="0C6EE403">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五、培育壮大国家战略科技力量，有力支撑高水平科技自立自强</w:t>
      </w:r>
    </w:p>
    <w:p w14:paraId="14FF7480">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十六）实施基础学科和交叉学科突破计划。强化高水平研究型大学国家基础研究主力军和重大科技突破策源地作用，提高基础研究组织化程度，建立科技创新与人才培养相互支撑、带动学科高质量发展的有效机制。打造校企地联合创新平台，加强重大科技基础设施、科技资源库建设，打造一流科技领军人才和创新团队，实现基础学科突破，引领学科交叉融合再创新。</w:t>
      </w:r>
    </w:p>
    <w:p w14:paraId="082BE050">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（十七）促进青年科技人才成长发展。大力弘扬科学家精神，营造鼓励探索、宽容失败的良好环境。培养造就一批高水平师资和学术大师。</w:t>
      </w:r>
    </w:p>
    <w:p w14:paraId="4DA64B73">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十八）提高高校科技成果转化效能。依托国家大学科技园打造高校区域技术转移转化中心，加强与各类技术转移转化平台和高新园区等的协同，搭建校企联合研发、概念验证、中试熟化等平台，建强技术转移转化等专业人才队伍。打造高端成果交易会、大学生创新大赛等品牌。</w:t>
      </w:r>
    </w:p>
    <w:p w14:paraId="683DCD2F">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十九）建设高等研究院开辟振兴区域发展新赛道。面向中西部、东北等地区布局建设高等研究院，促进高水平高校、优势学科与重点行业和头部企业强强联合，以需求定项目、以项目定团队，构建人才培养、科学研究和技术转移为一体的产教融合科教融汇新样本。</w:t>
      </w:r>
    </w:p>
    <w:p w14:paraId="33513FA0">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六、加快建设现代职业教育体系，培养大国工匠、能工巧匠、高技能人才</w:t>
      </w:r>
    </w:p>
    <w:p w14:paraId="49FFEA78">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二十）塑造多元办学、产教融合新形态。深入推进省域现代职业教育体系新模式试点，落实地方政府统筹发展职业教育主体责任。建强市域产教联合体、行业产教融合共同体，优化与区域发展相协调、与产业布局相衔接的职业教育布局。推动有条件地区将高等职业教育资源下沉到市县。鼓励企业举办或参与举办职业教育，推动校企在办学、育人、就业等方面深度合作。健全德技并修、工学结合育人机制，在产业一线培养更多大国工匠。</w:t>
      </w:r>
    </w:p>
    <w:p w14:paraId="273FF11E">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二十一）以职普融通拓宽学生成长成才通道。支持普通中小学开展职业启蒙教育、劳动教育。推动中等职业教育与普通高中教育融合发展。加强优质中等职业学校与高等职业学校衔接培养。加强教考衔接，优化职教高考内容和形式。鼓励应用型本科学校举办职业技术学院或开设职业技术专业。稳步扩大职业本科学校数量和招生规模。</w:t>
      </w:r>
    </w:p>
    <w:p w14:paraId="19FD8450">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二十二）提升职业学校关键办学能力。优化实施高水平高等职业学校和专业建设计划，建设一批办学特色鲜明的高水平职业本科学校。加快推动职业学校办学条件全面达标。实施职业教育教学关键要素改革，系统推进专业、课程、教材、教师、实习实训改革，建设集实践教学、真实生产、技术服务功能于一体的实习实训基地。</w:t>
      </w:r>
    </w:p>
    <w:p w14:paraId="79DB63CC">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二十三）优化技能人才成长政策环境。加大产业、财政、金融、就业等政策支持，新增教育经费加大对职业教育支持。积极推动职业学校毕业生在落户、就业、参加招录（聘）、职称评聘、晋升等方面与普通学校毕业生享受同等待遇。落实“新八级工”制度，以技能水平和创造贡献为依据，提高生产服务一线技能人才工资水平。弘扬劳模精神、劳动精神、工匠精神，形成人人皆可成才、人人尽展其才的良好环境。</w:t>
      </w:r>
    </w:p>
    <w:p w14:paraId="0F814176">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七、建设学习型社会，以教育数字化开辟发展新赛道、塑造发展新优势</w:t>
      </w:r>
    </w:p>
    <w:p w14:paraId="509E3DBA">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二十四）提升终身学习公共服务水平。构建以资历框架为基础、以学分银行为平台、以学习成果认证为重点的终身学习制度。加强教育资源共享和公共服务平台建设，建设学习型城市、学习型社区，完善国家开放大学体系，建好国家老年大学。加强学习型社会数字基础设施建设，建好国家数字大学。完善和加强继续教育、自学考试、非学历教育等制度保障，建设人人皆学、处处能学、时时可学的学习型社会。</w:t>
      </w:r>
    </w:p>
    <w:p w14:paraId="0BA0E5B7">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二十五）实施国家教育数字化战略。坚持应用导向、治理为基，推动集成化、智能化、国际化，建强用好国家智慧教育公共服务平台，建立横纵贯通、协同服务的数字教育体系。开发新型数字教育资源。建好国家教育大数据中心，搭建教育专网和算力共享网络。推进智慧校园建设，探索数字赋能大规模因材施教、创新性教学的有效途径，主动适应学习方式变革。打造世界数字教育大会、世界数字教育联盟、全球数字教育发展指数、数字教育权威期刊等公共产品，推动优质慕课（大型开放式网络课程）走出去。</w:t>
      </w:r>
    </w:p>
    <w:p w14:paraId="3C7C0618">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二十六）促进人工智能助力教育变革。面向数字经济和未来产业发展，加强课程体系改革，优化学科专业设置。制定完善师生数字素养标准，深化人工智能助推教师队伍建设。打造人工智能教育大模型。建设云端学校等。建立基于大数据和人工智能支持的教育评价和科学决策制度。加强网络安全保障，强化数据安全、人工智能算法和伦理安全。</w:t>
      </w:r>
    </w:p>
    <w:p w14:paraId="2DAB5432">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八、建设高素质专业化教师队伍，筑牢教育强国根基</w:t>
      </w:r>
    </w:p>
    <w:p w14:paraId="346C2E66">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二十七）实施教育家精神铸魂强师行动。推动教育家精神融入教师培养培训全过程，贯穿课堂教学、科学研究、社会实践各环节，构建日常浸润、项目赋能、平台支撑的教师发展良好生态。加强教师队伍思想政治工作，加强教师党组织建设，发挥党员教师先锋模范作用。坚持师德师风第一标准，健全师德师风建设长效机制，严格落实师德失范“零容忍”。</w:t>
      </w:r>
    </w:p>
    <w:p w14:paraId="7200E9C1">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二十八）提升教师专业素质能力。健全教师教育体系，扩大实施国家优秀中小学教师培养计划，推动高水平大学开展教师教育，提高师范教育办学质量。加强义务教育班主任队伍建设。完善高水平职业教育教师培养培训和企业实践制度，提升“双师型”教师队伍建设水平。面向全球聘任高水平师资，加强教师培训国际交流合作，健全高校教师发展支持服务体系。强化教师全员培训，完善国家、省、市、县、校分级研训体系。</w:t>
      </w:r>
    </w:p>
    <w:p w14:paraId="67E21AF6">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二十九）优化教师管理和资源配置。完善国家教师资格制度和教师招聘制度。优化各级各类学校师生配比，统筹做好寄宿制学校、公办幼儿园教职工编制配备。优化中小学教师“县管校聘”管理机制。深化教师考核评价制度改革。优化教师岗位结构比例。鼓励职业学校教师与企业高技能人才按规定互聘兼职。制定高校工科教师聘用指导性标准。深入实施国家银龄教师行动计划。推动博士后成为高校教师的重要来源。</w:t>
      </w:r>
    </w:p>
    <w:p w14:paraId="36F92209">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三十）提高教师政治地位、社会地位、职业地位。保障教师课后服务工作合理待遇，优化教师工资结构，落实完善乡村教师生活补助政策。强化高中、幼儿园教师工资待遇保障，完善职业学校教师绩效工资保障制度，推进高校薪酬制度改革。维护教师职业尊严和合法权益，减轻教师非教育教学任务负担，落实社会公共服务教师优先政策，做好教师荣休工作。加大优秀教师选树表彰和宣传力度，让教师享有崇高社会声望、成为最受社会尊重的职业之一。</w:t>
      </w:r>
    </w:p>
    <w:p w14:paraId="17DEF4DE">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九、深化教育综合改革，激发教育发展活力</w:t>
      </w:r>
    </w:p>
    <w:p w14:paraId="499F8718">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三十一）深化教育评价改革。各级党委和政府要树立正确政绩观，树立科学的教育评价导向，防止和纠正“分数至上”等偏差。有序推进中考改革。加快扩大优质高中招生指标到校，开展均衡派位招生试点。深化高考综合改革，构建引导学生德智体美劳全面发展的考试或考核内容体系，重点强化学生关键能力、学科素养和思维品质考查。深化研究生学术学位和专业学位的分类选拔，加强科研创新能力和实践能力考查。推进信息技术赋能考试评价改革。深化高校人才评价改革，破除人才“帽子”制约，突出创新能力、质量、实效、贡献导向，科学认定标志性成果。完善义务教育优质均衡推进机制。引导规范民办教育发展。</w:t>
      </w:r>
    </w:p>
    <w:p w14:paraId="76DC1D7B">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三十二）完善人才培养与经济社会发展需要适配机制。坚持总体适配、动态平衡、良性互动，完善人才需求预测预警机制，探索建立国家人才供需对接大数据平台，加强分行业分领域人才需求分析和有效对接，定期编制发布人才需求报告和人才需求目录。开展就业状况跟踪调查，强化就业状况与招生计划、人才培养联动，加强就业质量监测和评价反馈。超前布局、动态调整学科专业，优化办学资源配置，完善学生实习实践制度。加快构建高校毕业生高质量就业服务体系，促进高校毕业生高质量充分就业。</w:t>
      </w:r>
    </w:p>
    <w:p w14:paraId="71D6C937">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三十三）提升依法治教和管理水平。健全教育法律法规规章，研究编纂教育法典。完善学校管理体系，健全学校章程实施保障机制，落实学校办学自主权。坚决惩治学术不端行为及学术腐败，完善师生科研诚信和作风学风教育培训机制。完善督政、督学、评估监测教育督导体系，健全国家、省、市、县教育督导机构。构建校园智能化安防体系，完善学生欺凌和暴力行为早发现、早预防、早控制机制，加强防溺水、交通安全等教育，完善校园安全纠纷多元化解机制和安全风险社会化分担机制。</w:t>
      </w:r>
    </w:p>
    <w:p w14:paraId="7DC52F97">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三十四）健全教育战略性投入机制。各级政府要加大财政投入力度，建立预算拨款和绩效激励约束机制，确保财政一般公共预算教育支出逐年只增不减，确保按在校学生人数平均的一般公共预算教育支出逐年只增不减，保证国家财政性教育经费支出占国内生产总值比例高于4%。完善各级各类教育预算拨款制度，合理确定并适时提高相关拨款标准和投入水平，建立学生资助标准动态调整机制。逐步提高预算内投资用于教育的比重。优化完善教育领域相关转移支付。搭建高校、企业、社会深度融合的协同育人经费筹措合作机制。发挥各级教育基金会作用，引导规范社会力量投入和捐赠教育。完善非义务教育培养成本合理分担机制。完善覆盖全学段学生资助体系。完善教育经费统计体系。优化教育支出结构，强化经费监管和绩效评价。</w:t>
      </w:r>
    </w:p>
    <w:p w14:paraId="44E27305">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三十五）构建教育科技人才一体统筹推进机制。加强主管部门定期会商，共同做好政策协调、项目统筹、资源配置。完善科教协同育人机制，加强创新资源统筹和力量组织。强化教育对科技和人才的支撑作用，教育布局和改革试点紧密对接北京、上海、粤港澳大湾区等国际科技创新中心建设，对接区域科技创新中心建设、国家高水平人才高地和吸引集聚人才平台建设，提升国家创新体系整体效能。</w:t>
      </w:r>
    </w:p>
    <w:p w14:paraId="67F1A89A">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十、完善教育对外开放战略策略，建设具有全球影响力的重要教育中心</w:t>
      </w:r>
    </w:p>
    <w:p w14:paraId="36DB6A7D">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三十六）提升全球人才培养和集聚能力。加强对出国留学人员的教育引导和服务管理。改革国家公派出国留学体制机制，加强“留学中国”品牌和能力建设，完善来华留学入学考试考核。鼓励支持选拔优秀人才到国际知名高校、研究机构研修，扩大中外青少年交流，实施国际暑期学校等项目。提升高等教育海外办学能力，完善职业教育产教融合、校企协同国际合作机制，深耕鲁班工坊等品牌。支持更多国家开展中文教学。</w:t>
      </w:r>
    </w:p>
    <w:p w14:paraId="7462CE47">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三十七）扩大国际学术交流和教育科研合作。支持高水平研究型大学发起和参与国际大科学计划、建设大科学装置、主持重大国际科研项目，推动建设高水平高校学科创新引智基地、国际合作联合实验室。高质量推进国际产学研合作。积极参与开放科学国际合作。</w:t>
      </w:r>
    </w:p>
    <w:p w14:paraId="4C03181A">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三十八）积极参与全球教育治理。深化同联合国教科文组织等国际组织和多边机制合作。建立教育创新合作网络，支持国际STEM（科学、技术、工程、数学）教育研究所建设发展。支持国内高校设立教育类国际组织、学术联盟，打造具有国际影响力的学术期刊、系列指数和报告。设立区域全面经济伙伴关系国际教育合作区。实施中国教育品牌培育计划。</w:t>
      </w:r>
    </w:p>
    <w:p w14:paraId="29FBBA7D">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十一、加强组织实施</w:t>
      </w:r>
    </w:p>
    <w:p w14:paraId="5C6BBA40">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宋体" w:hAnsi="宋体" w:eastAsia="宋体" w:cs="宋体"/>
          <w:i w:val="0"/>
          <w:iCs w:val="0"/>
          <w:caps w:val="0"/>
          <w:color w:val="333333"/>
          <w:spacing w:val="0"/>
          <w:sz w:val="19"/>
          <w:szCs w:val="19"/>
        </w:rPr>
      </w:pPr>
      <w:r>
        <w:rPr>
          <w:rFonts w:hint="eastAsia" w:ascii="方正仿宋_GBK" w:hAnsi="方正仿宋_GBK" w:eastAsia="方正仿宋_GBK" w:cs="方正仿宋_GBK"/>
          <w:color w:val="auto"/>
          <w:sz w:val="32"/>
          <w:szCs w:val="32"/>
          <w:lang w:val="en-US" w:eastAsia="zh-CN"/>
        </w:rPr>
        <w:t>建设教育强国，必须完善党委统一领导、党政齐抓共管、部门各负其责的教育领导体制。全面推进各级各类学校党的建设，牢牢掌握党对学校意识形态工作领导权，落实意识形态工作责任制，深入推进党风廉政建设和反腐败斗争，将党风政风、师德师风、校风学风建设作为评价学校领导班子办学治校水平的重要内容，维护教育系统政治安全与和谐稳定。充分发挥中央教育工作领导小组统筹协调、整体推进、督促落实作用，推动解决教育强国建设中的重大问题，加强教育强国建设的监测评价。各级党委和政府要切实扛起教育强国建设的政治责任，把推进教育强国建设纳入重要议事日程，结合实际抓好本规划纲要贯彻落实。要营造全社会共同关心支持教育强国建设的良好环境，加强宣传和舆论引导，健全学校家庭社会协同育人机制，形成建设教育强国强大合力。</w:t>
      </w:r>
    </w:p>
    <w:p w14:paraId="1D77C054">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lang w:val="en-US" w:eastAsia="zh-CN"/>
        </w:rPr>
      </w:pPr>
    </w:p>
    <w:p w14:paraId="268A9A8B">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default" w:ascii="方正仿宋_GBK" w:hAnsi="方正仿宋_GBK" w:eastAsia="方正仿宋_GBK" w:cs="方正仿宋_GBK"/>
          <w:color w:val="auto"/>
          <w:sz w:val="32"/>
          <w:szCs w:val="32"/>
          <w:lang w:val="en-US" w:eastAsia="zh-CN"/>
        </w:rPr>
        <w:sectPr>
          <w:pgSz w:w="11906" w:h="16838"/>
          <w:pgMar w:top="1984" w:right="1474" w:bottom="1644" w:left="1474" w:header="851" w:footer="992" w:gutter="0"/>
          <w:pgNumType w:fmt="numberInDash"/>
          <w:cols w:space="0" w:num="1"/>
          <w:rtlGutter w:val="0"/>
          <w:docGrid w:type="lines" w:linePitch="312" w:charSpace="0"/>
        </w:sectPr>
      </w:pPr>
      <w:r>
        <w:rPr>
          <w:rFonts w:hint="eastAsia" w:ascii="方正仿宋_GBK" w:hAnsi="方正仿宋_GBK" w:eastAsia="方正仿宋_GBK" w:cs="方正仿宋_GBK"/>
          <w:color w:val="auto"/>
          <w:sz w:val="32"/>
          <w:szCs w:val="32"/>
          <w:lang w:val="en-US" w:eastAsia="zh-CN"/>
        </w:rPr>
        <w:t>发布时间：2025年01月20日 10:54 来源：新华社</w:t>
      </w:r>
    </w:p>
    <w:p w14:paraId="0CBED769">
      <w:pPr>
        <w:pStyle w:val="2"/>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hint="eastAsia"/>
          <w:lang w:val="en-US" w:eastAsia="zh-CN"/>
        </w:rPr>
      </w:pPr>
      <w:bookmarkStart w:id="32" w:name="_Toc22624"/>
      <w:r>
        <w:rPr>
          <w:rFonts w:hint="eastAsia"/>
          <w:lang w:val="en-US" w:eastAsia="zh-CN"/>
        </w:rPr>
        <w:t>11.袁家军：突出干字当头唯实争先 推动现代化新重庆建设取得新成效迈上新台阶</w:t>
      </w:r>
      <w:bookmarkEnd w:id="32"/>
    </w:p>
    <w:p w14:paraId="448400BA">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lang w:val="en-US" w:eastAsia="zh-CN"/>
        </w:rPr>
      </w:pPr>
    </w:p>
    <w:p w14:paraId="7CAA94D9">
      <w:pPr>
        <w:pStyle w:val="2"/>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lang w:val="en-US" w:eastAsia="zh-CN"/>
        </w:rPr>
      </w:pPr>
      <w:bookmarkStart w:id="33" w:name="_Toc9877"/>
      <w:bookmarkStart w:id="34" w:name="_Toc11877"/>
      <w:r>
        <w:rPr>
          <w:rFonts w:hint="eastAsia"/>
          <w:lang w:val="en-US" w:eastAsia="zh-CN"/>
        </w:rPr>
        <w:t>市委召开全市领导干部会议</w:t>
      </w:r>
      <w:bookmarkEnd w:id="33"/>
      <w:bookmarkEnd w:id="34"/>
    </w:p>
    <w:p w14:paraId="26CBE815">
      <w:pPr>
        <w:pStyle w:val="2"/>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lang w:val="en-US" w:eastAsia="zh-CN"/>
        </w:rPr>
      </w:pPr>
      <w:bookmarkStart w:id="35" w:name="_Toc28018"/>
      <w:bookmarkStart w:id="36" w:name="_Toc28987"/>
      <w:r>
        <w:rPr>
          <w:rFonts w:hint="eastAsia"/>
          <w:lang w:val="en-US" w:eastAsia="zh-CN"/>
        </w:rPr>
        <w:t>传达学习贯彻全国两会精神</w:t>
      </w:r>
      <w:bookmarkEnd w:id="35"/>
      <w:bookmarkEnd w:id="36"/>
    </w:p>
    <w:p w14:paraId="3765A76C">
      <w:pPr>
        <w:pStyle w:val="2"/>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lang w:val="en-US" w:eastAsia="zh-CN"/>
        </w:rPr>
      </w:pPr>
      <w:bookmarkStart w:id="37" w:name="_Toc5737"/>
      <w:bookmarkStart w:id="38" w:name="_Toc8379"/>
      <w:r>
        <w:rPr>
          <w:rFonts w:hint="eastAsia"/>
          <w:lang w:val="en-US" w:eastAsia="zh-CN"/>
        </w:rPr>
        <w:t>突出干字当头唯实争先</w:t>
      </w:r>
      <w:bookmarkEnd w:id="37"/>
      <w:bookmarkEnd w:id="38"/>
    </w:p>
    <w:p w14:paraId="374CABFF">
      <w:pPr>
        <w:pStyle w:val="2"/>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lang w:val="en-US" w:eastAsia="zh-CN"/>
        </w:rPr>
      </w:pPr>
      <w:bookmarkStart w:id="39" w:name="_Toc11484"/>
      <w:bookmarkStart w:id="40" w:name="_Toc31958"/>
      <w:r>
        <w:rPr>
          <w:rFonts w:hint="eastAsia"/>
          <w:lang w:val="en-US" w:eastAsia="zh-CN"/>
        </w:rPr>
        <w:t>推动现代化新重庆建设取得新成效迈上新台阶</w:t>
      </w:r>
      <w:bookmarkEnd w:id="39"/>
      <w:bookmarkEnd w:id="40"/>
    </w:p>
    <w:p w14:paraId="4FE99895">
      <w:pPr>
        <w:pStyle w:val="2"/>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lang w:val="en-US" w:eastAsia="zh-CN"/>
        </w:rPr>
      </w:pPr>
      <w:bookmarkStart w:id="41" w:name="_Toc7649"/>
      <w:bookmarkStart w:id="42" w:name="_Toc10858"/>
      <w:r>
        <w:rPr>
          <w:rFonts w:hint="eastAsia"/>
          <w:lang w:val="en-US" w:eastAsia="zh-CN"/>
        </w:rPr>
        <w:t>袁家军主持并讲话</w:t>
      </w:r>
      <w:bookmarkEnd w:id="41"/>
      <w:bookmarkEnd w:id="42"/>
    </w:p>
    <w:p w14:paraId="45010946">
      <w:pPr>
        <w:pStyle w:val="2"/>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lang w:val="en-US" w:eastAsia="zh-CN"/>
        </w:rPr>
      </w:pPr>
      <w:bookmarkStart w:id="43" w:name="_Toc31513"/>
      <w:bookmarkStart w:id="44" w:name="_Toc20542"/>
      <w:r>
        <w:rPr>
          <w:rFonts w:hint="eastAsia"/>
          <w:lang w:val="en-US" w:eastAsia="zh-CN"/>
        </w:rPr>
        <w:t>胡衡华王炯程丽华传达 张轩出席</w:t>
      </w:r>
      <w:bookmarkEnd w:id="43"/>
      <w:bookmarkEnd w:id="44"/>
    </w:p>
    <w:p w14:paraId="6C868B65">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p>
    <w:p w14:paraId="76C0BE61">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3月12日下午，市委召开全市领导干部会议，传达学习贯彻习近平总书记重要讲话精神和全国两会精神，对全市学习贯彻工作作出部署。</w:t>
      </w:r>
    </w:p>
    <w:p w14:paraId="30DD832B">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市委书记袁家军主持会议并讲话。胡衡华、王炯、程丽华、张轩，李明清，市级领导、副省级以上老同志出席。会议传达习近平总书记在全国两会期间重要讲话精神，传达十四届全国人大三次会议精神和全国政协十四届三次会议精神。</w:t>
      </w:r>
    </w:p>
    <w:p w14:paraId="1CE8CE03">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袁家军在讲话中指出，这次全国两会是在“十四五”规划收官之年召开的一次重要会议，是一次凝心聚力、真抓实干、团结奋进的大会。习近平总书记在大会期间发表系列重要讲话，着眼高质量完成“十四五”规划目标任务、为实现“十五五”良好开局打牢基础这一关键，紧扣高质量发展这个首要任务，对完成今年经济社会发展目标任务提出要求，为全面学习贯彻全国两会精神、做好当前和今后一个时期工作提供了根本遵循。要深刻把握2024年成就极不平凡，全面把握2025年主要目标和重点工作，坚决把思想和行动统一到党中央对当前形势的科学判断上来，落实落细全国两会各项部署，持续深化全过程人民民主市域实践，以实干实绩实效坚决拥护“两个确立”、坚决做到“两个维护”。</w:t>
      </w:r>
    </w:p>
    <w:p w14:paraId="57C1DAC2">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袁家军指出，学习好贯彻好全国两会精神，是当前和今后一个时期的重要任务。全市上下要把学习贯彻两会精神与深化落实习近平总书记视察重庆重要讲话重要指示精神贯通起来，聚焦做实“两大定位”、发挥“三个作用”，加快建设“六区一高地”，突出干字当头、唯实争先，坚定发展信心，强化改革创新，奋力夺取一季度“开门红”。</w:t>
      </w:r>
    </w:p>
    <w:p w14:paraId="2A9F9E27">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要扎实推动高质量发展取得更大突破，千方百计扩投资促消费，以钉钉子精神做深做透“四链”融合、“四侧”协同文章，大力实施“人工智能+”行动，全面提升“33618”现代制造业集群能级和“416”科技创新布局竞争力，聚焦“三中心一走廊”建设纵深推进成渝地区双城经济圈建设走深走实。</w:t>
      </w:r>
    </w:p>
    <w:p w14:paraId="50FED738">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要扎实推动内陆开放综合枢纽建设取得更大突破，加快打造“九大关键枢纽”，构建现代化多式联运集疏运体系和对外开放综合服务体系，积极推动枢纽港产业园建设，全力打造中新互联互通项目实施10周年标志性成果，进一步拓宽向西、向南高水平对外开放空间。</w:t>
      </w:r>
    </w:p>
    <w:p w14:paraId="27B8FD75">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要扎实推动改革攻坚取得更大突破，强化数字重庆建设和重点领域改革“双轮驱动”，纵深推进国资国企改革，推动民营经济发展高地建设取得显著进展，更好通过改革增动力、添活力、防风险、破难题、促发展。</w:t>
      </w:r>
    </w:p>
    <w:p w14:paraId="333B9F9A">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要扎实推动数字赋能超大城市治理取得更大突破，进一步发挥三级数字化城市运行和治理中心主轴功能，突出服务“一老一小”全面推开“15分钟高品质生活服务圈”创建，大力践行“坚韧、忠勇、开放、争先”的城市精神，持续增强解决“大城市病”实战能力，提升城市美誉度吸引力影响力和软实力。</w:t>
      </w:r>
    </w:p>
    <w:p w14:paraId="002BA325">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要扎实推动城乡融合发展乡村全面振兴取得更大突破，千方百计稳就业促增收，加快建设“2小时重庆”交通圈，“一县一策”持续激发山区库区高质量发展内生动力活力，深入实施“四千行动”，巩固拓展脱贫攻坚成果，积极探索走出西部省份共同富裕的新路子新模式。</w:t>
      </w:r>
    </w:p>
    <w:p w14:paraId="7BA96137">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要扎实推动美丽重庆建设取得更大突破，高标准抓好第三轮中央生态环境保护督察反馈问题整改，以治水治气治废为牵引一体推进“九治”全面见效，全域全面消除城乡黑臭水体，提升全市域整体大美风貌，大力推动绿色低碳转型发展。</w:t>
      </w:r>
    </w:p>
    <w:p w14:paraId="7E7B5903">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要加快打造新时代市域党建新高地，持续健全党建统领“885”工作体系，树立实干实绩实效选人用人导向，打造新时代“红岩先锋”变革型组织，全面增强各级党组织政治功能和组织功能，突出“一把手”担当作为，引导广大党员干部以严的基调正风肃纪反腐，持续修复净化政治生态，在现代化新重庆建设大战大考中展现新作为、作出新贡献。</w:t>
      </w:r>
    </w:p>
    <w:p w14:paraId="5D7A3887">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袁家军指出——</w:t>
      </w:r>
    </w:p>
    <w:p w14:paraId="49763C04">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●全市各级人大及其常委会要紧扣重点领域加强高水平立法，聚焦重点工作提升监督质效，增强全过程人民民主基层单元功能，全面提升人大现代化履职能力。</w:t>
      </w:r>
    </w:p>
    <w:p w14:paraId="66720345">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●各级政协组织要持续提升政协工作制度化、规范化、程序化水平，深度协商议政，开展民主监督，更好发挥凝聚人心、汇聚力量作用。</w:t>
      </w:r>
    </w:p>
    <w:p w14:paraId="452DF3E1">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●各级法院、检察院要围绕建设更高水平平安重庆法治重庆，持续加强高质量司法服务供给，为现代化新重庆建设提供有力司法保障。</w:t>
      </w:r>
    </w:p>
    <w:p w14:paraId="1CCFC135">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袁家军最后强调，全市上下要迅速掀起学习宣传贯彻全国两会精神热潮，各级各部门要精心组织，代表委员和领导干部要发挥示范带头作用，加强宣传宣讲、政策解读，把全国两会精神传达到基层一线和千家万户，广泛凝聚全社会共建现代化新重庆强大合力，以落实全国两会精神的新担当新作为新成效做到“总书记有号令、党中央有部署，重庆见行动”。</w:t>
      </w:r>
    </w:p>
    <w:p w14:paraId="07AA4D87">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宋体" w:hAnsi="宋体" w:eastAsia="宋体" w:cs="宋体"/>
          <w:i w:val="0"/>
          <w:iCs w:val="0"/>
          <w:caps w:val="0"/>
          <w:color w:val="333333"/>
          <w:spacing w:val="0"/>
          <w:sz w:val="19"/>
          <w:szCs w:val="19"/>
        </w:rPr>
      </w:pPr>
      <w:r>
        <w:rPr>
          <w:rFonts w:hint="eastAsia" w:ascii="方正仿宋_GBK" w:hAnsi="方正仿宋_GBK" w:eastAsia="方正仿宋_GBK" w:cs="方正仿宋_GBK"/>
          <w:color w:val="auto"/>
          <w:sz w:val="32"/>
          <w:szCs w:val="32"/>
          <w:lang w:val="en-US" w:eastAsia="zh-CN"/>
        </w:rPr>
        <w:t>会议以视频方式举行。市委各部委、市级国家机关各部门、有关人民团体、市属事业单位和中央在渝单位、有关企业负责人，市工商联、各民主党派市委会负责人，无党派人士代表等在主会场参加会议。各区县，两江新区、重庆高新区、万盛经开区设分会场。</w:t>
      </w:r>
    </w:p>
    <w:p w14:paraId="79E263DB">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lang w:val="en-US" w:eastAsia="zh-CN"/>
        </w:rPr>
      </w:pPr>
    </w:p>
    <w:p w14:paraId="12CAB4BA">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default" w:ascii="方正仿宋_GBK" w:hAnsi="方正仿宋_GBK" w:eastAsia="方正仿宋_GBK" w:cs="方正仿宋_GBK"/>
          <w:color w:val="auto"/>
          <w:sz w:val="32"/>
          <w:szCs w:val="32"/>
          <w:lang w:val="en-US" w:eastAsia="zh-CN"/>
        </w:rPr>
        <w:sectPr>
          <w:pgSz w:w="11906" w:h="16838"/>
          <w:pgMar w:top="1984" w:right="1474" w:bottom="1644" w:left="1474" w:header="851" w:footer="992" w:gutter="0"/>
          <w:pgNumType w:fmt="numberInDash"/>
          <w:cols w:space="0" w:num="1"/>
          <w:rtlGutter w:val="0"/>
          <w:docGrid w:type="lines" w:linePitch="312" w:charSpace="0"/>
        </w:sectPr>
      </w:pPr>
      <w:r>
        <w:rPr>
          <w:rFonts w:hint="eastAsia" w:ascii="方正仿宋_GBK" w:hAnsi="方正仿宋_GBK" w:eastAsia="方正仿宋_GBK" w:cs="方正仿宋_GBK"/>
          <w:color w:val="auto"/>
          <w:sz w:val="32"/>
          <w:szCs w:val="32"/>
          <w:lang w:val="en-US" w:eastAsia="zh-CN"/>
        </w:rPr>
        <w:t>发布时间：2025年03月13日08:15 来源：重庆日报</w:t>
      </w:r>
    </w:p>
    <w:bookmarkEnd w:id="2"/>
    <w:p w14:paraId="53A99621">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drawing>
          <wp:anchor distT="0" distB="0" distL="114300" distR="114300" simplePos="0" relativeHeight="251660288" behindDoc="1" locked="0" layoutInCell="1" allowOverlap="1">
            <wp:simplePos x="0" y="0"/>
            <wp:positionH relativeFrom="column">
              <wp:posOffset>-980440</wp:posOffset>
            </wp:positionH>
            <wp:positionV relativeFrom="paragraph">
              <wp:posOffset>-1266825</wp:posOffset>
            </wp:positionV>
            <wp:extent cx="7718425" cy="11995785"/>
            <wp:effectExtent l="0" t="0" r="8255" b="13335"/>
            <wp:wrapNone/>
            <wp:docPr id="27" name="图片 27"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11"/>
                    <pic:cNvPicPr>
                      <a:picLocks noChangeAspect="1"/>
                    </pic:cNvPicPr>
                  </pic:nvPicPr>
                  <pic:blipFill>
                    <a:blip r:embed="rId10"/>
                    <a:stretch>
                      <a:fillRect/>
                    </a:stretch>
                  </pic:blipFill>
                  <pic:spPr>
                    <a:xfrm>
                      <a:off x="0" y="0"/>
                      <a:ext cx="7718425" cy="11995785"/>
                    </a:xfrm>
                    <a:prstGeom prst="rect">
                      <a:avLst/>
                    </a:prstGeom>
                  </pic:spPr>
                </pic:pic>
              </a:graphicData>
            </a:graphic>
          </wp:anchor>
        </w:drawing>
      </w:r>
    </w:p>
    <w:p w14:paraId="0C8EFBC2">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outlineLvl w:val="9"/>
        <w:rPr>
          <w:rFonts w:hint="eastAsia" w:ascii="方正仿宋_GBK" w:hAnsi="方正仿宋_GBK" w:eastAsia="方正仿宋_GBK" w:cs="方正仿宋_GBK"/>
          <w:color w:val="auto"/>
          <w:sz w:val="32"/>
          <w:szCs w:val="32"/>
          <w:lang w:val="en-US" w:eastAsia="zh-CN"/>
        </w:rPr>
      </w:pPr>
    </w:p>
    <w:sectPr>
      <w:footerReference r:id="rId7" w:type="default"/>
      <w:pgSz w:w="11906" w:h="16838"/>
      <w:pgMar w:top="1984" w:right="1474" w:bottom="1644" w:left="1474" w:header="851" w:footer="992" w:gutter="0"/>
      <w:pgNumType w:fmt="numberInDash"/>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黑体_GBK">
    <w:panose1 w:val="03000509000000000000"/>
    <w:charset w:val="86"/>
    <w:family w:val="auto"/>
    <w:pitch w:val="default"/>
    <w:sig w:usb0="00000001" w:usb1="080E0000" w:usb2="00000000" w:usb3="00000000" w:csb0="00040000" w:csb1="00000000"/>
    <w:embedRegular r:id="rId1" w:fontKey="{8DBFCD99-6FAC-428D-9B35-FD1A8F12CC25}"/>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仿宋_GBK">
    <w:panose1 w:val="03000509000000000000"/>
    <w:charset w:val="86"/>
    <w:family w:val="auto"/>
    <w:pitch w:val="default"/>
    <w:sig w:usb0="00000001" w:usb1="080E0000" w:usb2="00000000" w:usb3="00000000" w:csb0="00040000" w:csb1="00000000"/>
    <w:embedRegular r:id="rId2" w:fontKey="{F15A3A91-B800-4429-8BA0-5F4D44272D61}"/>
  </w:font>
  <w:font w:name="方正楷体_GBK">
    <w:panose1 w:val="03000509000000000000"/>
    <w:charset w:val="86"/>
    <w:family w:val="auto"/>
    <w:pitch w:val="default"/>
    <w:sig w:usb0="00000001" w:usb1="080E0000" w:usb2="00000000" w:usb3="00000000" w:csb0="00040000" w:csb1="00000000"/>
    <w:embedRegular r:id="rId3" w:fontKey="{B884B326-D662-40D3-A8FF-FBA8D1EDDA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4C9579">
    <w:pPr>
      <w:pStyle w:val="5"/>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5CFE44">
                          <w:pPr>
                            <w:pStyle w:val="5"/>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  \* MERGEFORMAT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3</w:t>
                          </w:r>
                          <w:r>
                            <w:rPr>
                              <w:rFonts w:hint="eastAsia" w:ascii="方正仿宋_GBK" w:hAnsi="方正仿宋_GBK" w:eastAsia="方正仿宋_GBK" w:cs="方正仿宋_GBK"/>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35CFE44">
                    <w:pPr>
                      <w:pStyle w:val="5"/>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  \* MERGEFORMAT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3</w:t>
                    </w:r>
                    <w:r>
                      <w:rPr>
                        <w:rFonts w:hint="eastAsia" w:ascii="方正仿宋_GBK" w:hAnsi="方正仿宋_GBK" w:eastAsia="方正仿宋_GBK" w:cs="方正仿宋_GBK"/>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B9CF6B">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8EF7D6">
                          <w:pPr>
                            <w:pStyle w:val="5"/>
                            <w:rPr>
                              <w:rFonts w:hint="eastAsia" w:ascii="方正仿宋_GBK" w:hAnsi="方正仿宋_GBK" w:eastAsia="方正仿宋_GBK" w:cs="方正仿宋_GBK"/>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  \* MERGEFORMAT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1</w:t>
                          </w:r>
                          <w:r>
                            <w:rPr>
                              <w:rFonts w:hint="eastAsia" w:ascii="方正仿宋_GBK" w:hAnsi="方正仿宋_GBK" w:eastAsia="方正仿宋_GBK" w:cs="方正仿宋_GBK"/>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398EF7D6">
                    <w:pPr>
                      <w:pStyle w:val="5"/>
                      <w:rPr>
                        <w:rFonts w:hint="eastAsia" w:ascii="方正仿宋_GBK" w:hAnsi="方正仿宋_GBK" w:eastAsia="方正仿宋_GBK" w:cs="方正仿宋_GBK"/>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  \* MERGEFORMAT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1</w:t>
                    </w:r>
                    <w:r>
                      <w:rPr>
                        <w:rFonts w:hint="eastAsia" w:ascii="方正仿宋_GBK" w:hAnsi="方正仿宋_GBK" w:eastAsia="方正仿宋_GBK" w:cs="方正仿宋_GBK"/>
                        <w:sz w:val="28"/>
                        <w:szCs w:val="2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D37146">
    <w:pPr>
      <w:pStyle w:val="5"/>
    </w:pPr>
    <w:r>
      <w:rPr>
        <w:sz w:val="18"/>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13CF40">
                          <w:pPr>
                            <w:pStyle w:val="5"/>
                          </w:pPr>
                          <w:r>
                            <w:rPr>
                              <w:rFonts w:hint="eastAsia" w:ascii="方正仿宋_GBK" w:hAnsi="方正仿宋_GBK" w:eastAsia="方正仿宋_GBK" w:cs="方正仿宋_GBK"/>
                              <w:sz w:val="28"/>
                              <w:szCs w:val="44"/>
                            </w:rPr>
                            <w:fldChar w:fldCharType="begin"/>
                          </w:r>
                          <w:r>
                            <w:rPr>
                              <w:rFonts w:hint="eastAsia" w:ascii="方正仿宋_GBK" w:hAnsi="方正仿宋_GBK" w:eastAsia="方正仿宋_GBK" w:cs="方正仿宋_GBK"/>
                              <w:sz w:val="28"/>
                              <w:szCs w:val="44"/>
                            </w:rPr>
                            <w:instrText xml:space="preserve"> PAGE  \* MERGEFORMAT </w:instrText>
                          </w:r>
                          <w:r>
                            <w:rPr>
                              <w:rFonts w:hint="eastAsia" w:ascii="方正仿宋_GBK" w:hAnsi="方正仿宋_GBK" w:eastAsia="方正仿宋_GBK" w:cs="方正仿宋_GBK"/>
                              <w:sz w:val="28"/>
                              <w:szCs w:val="44"/>
                            </w:rPr>
                            <w:fldChar w:fldCharType="separate"/>
                          </w:r>
                          <w:r>
                            <w:rPr>
                              <w:rFonts w:hint="eastAsia" w:ascii="方正仿宋_GBK" w:hAnsi="方正仿宋_GBK" w:eastAsia="方正仿宋_GBK" w:cs="方正仿宋_GBK"/>
                              <w:sz w:val="28"/>
                              <w:szCs w:val="44"/>
                            </w:rPr>
                            <w:t>- 1 -</w:t>
                          </w:r>
                          <w:r>
                            <w:rPr>
                              <w:rFonts w:hint="eastAsia" w:ascii="方正仿宋_GBK" w:hAnsi="方正仿宋_GBK" w:eastAsia="方正仿宋_GBK" w:cs="方正仿宋_GBK"/>
                              <w:sz w:val="28"/>
                              <w:szCs w:val="4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713CF40">
                    <w:pPr>
                      <w:pStyle w:val="5"/>
                    </w:pPr>
                    <w:r>
                      <w:rPr>
                        <w:rFonts w:hint="eastAsia" w:ascii="方正仿宋_GBK" w:hAnsi="方正仿宋_GBK" w:eastAsia="方正仿宋_GBK" w:cs="方正仿宋_GBK"/>
                        <w:sz w:val="28"/>
                        <w:szCs w:val="44"/>
                      </w:rPr>
                      <w:fldChar w:fldCharType="begin"/>
                    </w:r>
                    <w:r>
                      <w:rPr>
                        <w:rFonts w:hint="eastAsia" w:ascii="方正仿宋_GBK" w:hAnsi="方正仿宋_GBK" w:eastAsia="方正仿宋_GBK" w:cs="方正仿宋_GBK"/>
                        <w:sz w:val="28"/>
                        <w:szCs w:val="44"/>
                      </w:rPr>
                      <w:instrText xml:space="preserve"> PAGE  \* MERGEFORMAT </w:instrText>
                    </w:r>
                    <w:r>
                      <w:rPr>
                        <w:rFonts w:hint="eastAsia" w:ascii="方正仿宋_GBK" w:hAnsi="方正仿宋_GBK" w:eastAsia="方正仿宋_GBK" w:cs="方正仿宋_GBK"/>
                        <w:sz w:val="28"/>
                        <w:szCs w:val="44"/>
                      </w:rPr>
                      <w:fldChar w:fldCharType="separate"/>
                    </w:r>
                    <w:r>
                      <w:rPr>
                        <w:rFonts w:hint="eastAsia" w:ascii="方正仿宋_GBK" w:hAnsi="方正仿宋_GBK" w:eastAsia="方正仿宋_GBK" w:cs="方正仿宋_GBK"/>
                        <w:sz w:val="28"/>
                        <w:szCs w:val="44"/>
                      </w:rPr>
                      <w:t>- 1 -</w:t>
                    </w:r>
                    <w:r>
                      <w:rPr>
                        <w:rFonts w:hint="eastAsia" w:ascii="方正仿宋_GBK" w:hAnsi="方正仿宋_GBK" w:eastAsia="方正仿宋_GBK" w:cs="方正仿宋_GBK"/>
                        <w:sz w:val="28"/>
                        <w:szCs w:val="44"/>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7EA787">
    <w:pPr>
      <w:pStyle w:val="5"/>
    </w:pPr>
    <w:r>
      <w:rPr>
        <w:sz w:val="18"/>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211E7E">
                          <w:pPr>
                            <w:pStyle w:val="5"/>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  \* MERGEFORMAT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 xml:space="preserve"> 2 </w:t>
                          </w:r>
                          <w:r>
                            <w:rPr>
                              <w:rFonts w:hint="eastAsia" w:ascii="方正仿宋_GBK" w:hAnsi="方正仿宋_GBK" w:eastAsia="方正仿宋_GBK" w:cs="方正仿宋_GBK"/>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0B211E7E">
                    <w:pPr>
                      <w:pStyle w:val="5"/>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  \* MERGEFORMAT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 xml:space="preserve"> 2 </w:t>
                    </w:r>
                    <w:r>
                      <w:rPr>
                        <w:rFonts w:hint="eastAsia" w:ascii="方正仿宋_GBK" w:hAnsi="方正仿宋_GBK" w:eastAsia="方正仿宋_GBK" w:cs="方正仿宋_GBK"/>
                        <w:sz w:val="28"/>
                        <w:szCs w:val="2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467997">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BFB939">
                          <w:pPr>
                            <w:pStyle w:val="5"/>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  \* MERGEFORMAT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55</w:t>
                          </w:r>
                          <w:r>
                            <w:rPr>
                              <w:rFonts w:hint="eastAsia" w:ascii="方正仿宋_GBK" w:hAnsi="方正仿宋_GBK" w:eastAsia="方正仿宋_GBK" w:cs="方正仿宋_GBK"/>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0BFB939">
                    <w:pPr>
                      <w:pStyle w:val="5"/>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  \* MERGEFORMAT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55</w:t>
                    </w:r>
                    <w:r>
                      <w:rPr>
                        <w:rFonts w:hint="eastAsia" w:ascii="方正仿宋_GBK" w:hAnsi="方正仿宋_GBK" w:eastAsia="方正仿宋_GBK" w:cs="方正仿宋_GBK"/>
                        <w:sz w:val="28"/>
                        <w:szCs w:val="28"/>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1"/>
  <w:displayBackgroundShape w:val="1"/>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A3ZTQ2ZTExNzYzMDBkZjU2YzM4YTU5NTg1ODU1ZjIifQ=="/>
  </w:docVars>
  <w:rsids>
    <w:rsidRoot w:val="06921A00"/>
    <w:rsid w:val="00184918"/>
    <w:rsid w:val="001F1D2C"/>
    <w:rsid w:val="00305CE7"/>
    <w:rsid w:val="005539A0"/>
    <w:rsid w:val="005D1948"/>
    <w:rsid w:val="00784F9E"/>
    <w:rsid w:val="00920750"/>
    <w:rsid w:val="00B878F8"/>
    <w:rsid w:val="00D40D69"/>
    <w:rsid w:val="00EC00DA"/>
    <w:rsid w:val="012B64AF"/>
    <w:rsid w:val="014B08FF"/>
    <w:rsid w:val="017C6D0A"/>
    <w:rsid w:val="01A22C15"/>
    <w:rsid w:val="01A544B3"/>
    <w:rsid w:val="01AA6C2C"/>
    <w:rsid w:val="01AC5842"/>
    <w:rsid w:val="01B85F94"/>
    <w:rsid w:val="01F72000"/>
    <w:rsid w:val="01FF7A76"/>
    <w:rsid w:val="021D12A8"/>
    <w:rsid w:val="021F723B"/>
    <w:rsid w:val="02386CC9"/>
    <w:rsid w:val="023E24A8"/>
    <w:rsid w:val="02497534"/>
    <w:rsid w:val="024B6E08"/>
    <w:rsid w:val="024C70A6"/>
    <w:rsid w:val="025C7846"/>
    <w:rsid w:val="028B18FB"/>
    <w:rsid w:val="0293255D"/>
    <w:rsid w:val="02BC7D06"/>
    <w:rsid w:val="02C170CB"/>
    <w:rsid w:val="02C40969"/>
    <w:rsid w:val="02FB5FE5"/>
    <w:rsid w:val="030F6088"/>
    <w:rsid w:val="031F3DF1"/>
    <w:rsid w:val="03323B24"/>
    <w:rsid w:val="03333CE8"/>
    <w:rsid w:val="035C6DF3"/>
    <w:rsid w:val="03675921"/>
    <w:rsid w:val="03707DF3"/>
    <w:rsid w:val="037800D1"/>
    <w:rsid w:val="03800D34"/>
    <w:rsid w:val="038B15DA"/>
    <w:rsid w:val="03A32C74"/>
    <w:rsid w:val="03A34A22"/>
    <w:rsid w:val="03B22EB7"/>
    <w:rsid w:val="03CD1A9F"/>
    <w:rsid w:val="03D1158F"/>
    <w:rsid w:val="03D90444"/>
    <w:rsid w:val="03F10E17"/>
    <w:rsid w:val="043B3CCE"/>
    <w:rsid w:val="04441D61"/>
    <w:rsid w:val="0446138B"/>
    <w:rsid w:val="0448564F"/>
    <w:rsid w:val="044B1246"/>
    <w:rsid w:val="04895318"/>
    <w:rsid w:val="04C3537C"/>
    <w:rsid w:val="04D01847"/>
    <w:rsid w:val="04D05CEB"/>
    <w:rsid w:val="04D70E27"/>
    <w:rsid w:val="04DD5D12"/>
    <w:rsid w:val="05002D34"/>
    <w:rsid w:val="05070A43"/>
    <w:rsid w:val="05210141"/>
    <w:rsid w:val="05453FE3"/>
    <w:rsid w:val="05542478"/>
    <w:rsid w:val="05681A7F"/>
    <w:rsid w:val="056B08F5"/>
    <w:rsid w:val="05834B0B"/>
    <w:rsid w:val="05A01219"/>
    <w:rsid w:val="05A21ED9"/>
    <w:rsid w:val="05A73F91"/>
    <w:rsid w:val="05A90120"/>
    <w:rsid w:val="05BB6053"/>
    <w:rsid w:val="05BC239F"/>
    <w:rsid w:val="05BE5B43"/>
    <w:rsid w:val="05D90BCF"/>
    <w:rsid w:val="05E76E48"/>
    <w:rsid w:val="065842D5"/>
    <w:rsid w:val="06622973"/>
    <w:rsid w:val="06921A00"/>
    <w:rsid w:val="0696086E"/>
    <w:rsid w:val="06AF7025"/>
    <w:rsid w:val="06D57890"/>
    <w:rsid w:val="06FF4665"/>
    <w:rsid w:val="070A631C"/>
    <w:rsid w:val="07117EF5"/>
    <w:rsid w:val="07350087"/>
    <w:rsid w:val="07937C68"/>
    <w:rsid w:val="07AA637F"/>
    <w:rsid w:val="07AF458F"/>
    <w:rsid w:val="07C37441"/>
    <w:rsid w:val="081D2FF5"/>
    <w:rsid w:val="08713341"/>
    <w:rsid w:val="08844E22"/>
    <w:rsid w:val="089808CE"/>
    <w:rsid w:val="089E3A0A"/>
    <w:rsid w:val="08A74FB5"/>
    <w:rsid w:val="08DA2C94"/>
    <w:rsid w:val="092E094E"/>
    <w:rsid w:val="09414AC1"/>
    <w:rsid w:val="095011A8"/>
    <w:rsid w:val="09F93DAC"/>
    <w:rsid w:val="0A222B45"/>
    <w:rsid w:val="0A283ED3"/>
    <w:rsid w:val="0A2A37A7"/>
    <w:rsid w:val="0A59408D"/>
    <w:rsid w:val="0A7D6664"/>
    <w:rsid w:val="0A9E7CF1"/>
    <w:rsid w:val="0AA55524"/>
    <w:rsid w:val="0ABB08A3"/>
    <w:rsid w:val="0AC05ED5"/>
    <w:rsid w:val="0ACD4334"/>
    <w:rsid w:val="0AF81075"/>
    <w:rsid w:val="0B106E41"/>
    <w:rsid w:val="0B470389"/>
    <w:rsid w:val="0B472137"/>
    <w:rsid w:val="0B4B7E79"/>
    <w:rsid w:val="0B7B1176"/>
    <w:rsid w:val="0B7F7591"/>
    <w:rsid w:val="0B8D66E4"/>
    <w:rsid w:val="0B8E5FB8"/>
    <w:rsid w:val="0BED0E07"/>
    <w:rsid w:val="0C122745"/>
    <w:rsid w:val="0C474AE5"/>
    <w:rsid w:val="0C6A6306"/>
    <w:rsid w:val="0C6A75EB"/>
    <w:rsid w:val="0C774C9E"/>
    <w:rsid w:val="0C7C4062"/>
    <w:rsid w:val="0C882A07"/>
    <w:rsid w:val="0CAC0DEC"/>
    <w:rsid w:val="0CC71781"/>
    <w:rsid w:val="0CD520F0"/>
    <w:rsid w:val="0CE54BC1"/>
    <w:rsid w:val="0CF62067"/>
    <w:rsid w:val="0CFB58CF"/>
    <w:rsid w:val="0D0A78C0"/>
    <w:rsid w:val="0D1241E1"/>
    <w:rsid w:val="0D1B387B"/>
    <w:rsid w:val="0D224C0A"/>
    <w:rsid w:val="0D295F98"/>
    <w:rsid w:val="0D363DFA"/>
    <w:rsid w:val="0D4C7ED9"/>
    <w:rsid w:val="0D70006B"/>
    <w:rsid w:val="0D8C4A31"/>
    <w:rsid w:val="0DB37F58"/>
    <w:rsid w:val="0DEE665D"/>
    <w:rsid w:val="0DFE11D3"/>
    <w:rsid w:val="0E06452B"/>
    <w:rsid w:val="0E2A36F8"/>
    <w:rsid w:val="0E3177FA"/>
    <w:rsid w:val="0E344BF5"/>
    <w:rsid w:val="0E455347"/>
    <w:rsid w:val="0E4B63E2"/>
    <w:rsid w:val="0E747832"/>
    <w:rsid w:val="0E7E40C2"/>
    <w:rsid w:val="0E903DF5"/>
    <w:rsid w:val="0E9E6512"/>
    <w:rsid w:val="0EAA135B"/>
    <w:rsid w:val="0EDF57A3"/>
    <w:rsid w:val="0EE26D46"/>
    <w:rsid w:val="0EF6309E"/>
    <w:rsid w:val="0EF645A0"/>
    <w:rsid w:val="0F01041E"/>
    <w:rsid w:val="0F182768"/>
    <w:rsid w:val="0F1E7653"/>
    <w:rsid w:val="0F391E8E"/>
    <w:rsid w:val="0F7F435F"/>
    <w:rsid w:val="0F9D1F4A"/>
    <w:rsid w:val="0FBF2BE4"/>
    <w:rsid w:val="0FC93A62"/>
    <w:rsid w:val="0FCB77DB"/>
    <w:rsid w:val="0FDC5544"/>
    <w:rsid w:val="0FFF6FF0"/>
    <w:rsid w:val="10327FA1"/>
    <w:rsid w:val="103D7E98"/>
    <w:rsid w:val="104F21BA"/>
    <w:rsid w:val="10554D6F"/>
    <w:rsid w:val="108C7A4F"/>
    <w:rsid w:val="10944070"/>
    <w:rsid w:val="10B77D5F"/>
    <w:rsid w:val="10C06C14"/>
    <w:rsid w:val="10C55FD8"/>
    <w:rsid w:val="10CD497E"/>
    <w:rsid w:val="10F6011B"/>
    <w:rsid w:val="11052878"/>
    <w:rsid w:val="110D797F"/>
    <w:rsid w:val="11186A50"/>
    <w:rsid w:val="111F6110"/>
    <w:rsid w:val="113676AF"/>
    <w:rsid w:val="115F467E"/>
    <w:rsid w:val="11851C0B"/>
    <w:rsid w:val="119F2CCD"/>
    <w:rsid w:val="11E42DD6"/>
    <w:rsid w:val="12220FC0"/>
    <w:rsid w:val="122B630F"/>
    <w:rsid w:val="122F4065"/>
    <w:rsid w:val="12521AED"/>
    <w:rsid w:val="12577104"/>
    <w:rsid w:val="126B7053"/>
    <w:rsid w:val="12767444"/>
    <w:rsid w:val="12D93FBD"/>
    <w:rsid w:val="12EA2943"/>
    <w:rsid w:val="12F708E7"/>
    <w:rsid w:val="130D399B"/>
    <w:rsid w:val="13143247"/>
    <w:rsid w:val="131E2317"/>
    <w:rsid w:val="13255454"/>
    <w:rsid w:val="13541895"/>
    <w:rsid w:val="135D4BEE"/>
    <w:rsid w:val="13651CF4"/>
    <w:rsid w:val="138555A0"/>
    <w:rsid w:val="138F28CD"/>
    <w:rsid w:val="13A04ADA"/>
    <w:rsid w:val="13D749A0"/>
    <w:rsid w:val="13D766FE"/>
    <w:rsid w:val="14110323"/>
    <w:rsid w:val="14117786"/>
    <w:rsid w:val="14183C7C"/>
    <w:rsid w:val="141E5F01"/>
    <w:rsid w:val="14532F1E"/>
    <w:rsid w:val="14645E33"/>
    <w:rsid w:val="147372B6"/>
    <w:rsid w:val="14755F67"/>
    <w:rsid w:val="14784EEC"/>
    <w:rsid w:val="14802DF4"/>
    <w:rsid w:val="149A0F1C"/>
    <w:rsid w:val="14A34882"/>
    <w:rsid w:val="14AF76CB"/>
    <w:rsid w:val="14F450DE"/>
    <w:rsid w:val="15082937"/>
    <w:rsid w:val="150B2427"/>
    <w:rsid w:val="15110B44"/>
    <w:rsid w:val="15137E4D"/>
    <w:rsid w:val="151C63E2"/>
    <w:rsid w:val="152754B3"/>
    <w:rsid w:val="152F4368"/>
    <w:rsid w:val="15545B7C"/>
    <w:rsid w:val="155E4C4D"/>
    <w:rsid w:val="155E641B"/>
    <w:rsid w:val="157B57FF"/>
    <w:rsid w:val="15AB2FFF"/>
    <w:rsid w:val="15AC7766"/>
    <w:rsid w:val="15B14D7D"/>
    <w:rsid w:val="15B44E85"/>
    <w:rsid w:val="15C471A6"/>
    <w:rsid w:val="15C727F2"/>
    <w:rsid w:val="15DD171F"/>
    <w:rsid w:val="160161FA"/>
    <w:rsid w:val="16070E41"/>
    <w:rsid w:val="161C2B3E"/>
    <w:rsid w:val="161D23BF"/>
    <w:rsid w:val="162B4B2F"/>
    <w:rsid w:val="163A1216"/>
    <w:rsid w:val="16842491"/>
    <w:rsid w:val="169A7F07"/>
    <w:rsid w:val="16B5089D"/>
    <w:rsid w:val="16E01DBD"/>
    <w:rsid w:val="171952CF"/>
    <w:rsid w:val="1744435A"/>
    <w:rsid w:val="17486E4C"/>
    <w:rsid w:val="179B5013"/>
    <w:rsid w:val="17AF45B4"/>
    <w:rsid w:val="17D66D1D"/>
    <w:rsid w:val="17F35B20"/>
    <w:rsid w:val="17FF44C5"/>
    <w:rsid w:val="185365BF"/>
    <w:rsid w:val="18627605"/>
    <w:rsid w:val="18890233"/>
    <w:rsid w:val="18AB01A9"/>
    <w:rsid w:val="18B52DD6"/>
    <w:rsid w:val="18D314AE"/>
    <w:rsid w:val="18E831AB"/>
    <w:rsid w:val="18EA3D1C"/>
    <w:rsid w:val="18EF22F7"/>
    <w:rsid w:val="18FE1560"/>
    <w:rsid w:val="19094ED0"/>
    <w:rsid w:val="192D5062"/>
    <w:rsid w:val="197776D2"/>
    <w:rsid w:val="19C92FDD"/>
    <w:rsid w:val="19DA0845"/>
    <w:rsid w:val="19F811CC"/>
    <w:rsid w:val="1A1864EC"/>
    <w:rsid w:val="1A3A618A"/>
    <w:rsid w:val="1A3D3083"/>
    <w:rsid w:val="1A7C004F"/>
    <w:rsid w:val="1A970ED2"/>
    <w:rsid w:val="1AA72BF2"/>
    <w:rsid w:val="1AAC7FEB"/>
    <w:rsid w:val="1AAE1FF5"/>
    <w:rsid w:val="1AB64BE3"/>
    <w:rsid w:val="1ACD2659"/>
    <w:rsid w:val="1B2129A5"/>
    <w:rsid w:val="1B222279"/>
    <w:rsid w:val="1B23480E"/>
    <w:rsid w:val="1B666609"/>
    <w:rsid w:val="1B6F3710"/>
    <w:rsid w:val="1B866CAC"/>
    <w:rsid w:val="1BC51582"/>
    <w:rsid w:val="1BCA6B98"/>
    <w:rsid w:val="1C02188C"/>
    <w:rsid w:val="1C116888"/>
    <w:rsid w:val="1C365FDC"/>
    <w:rsid w:val="1C393D1E"/>
    <w:rsid w:val="1C8F7A67"/>
    <w:rsid w:val="1CA90EA4"/>
    <w:rsid w:val="1CB6163B"/>
    <w:rsid w:val="1CBF4223"/>
    <w:rsid w:val="1CEB326A"/>
    <w:rsid w:val="1CEE4B08"/>
    <w:rsid w:val="1CFD3ED7"/>
    <w:rsid w:val="1D0E621C"/>
    <w:rsid w:val="1D100F23"/>
    <w:rsid w:val="1D167BBB"/>
    <w:rsid w:val="1D1C3424"/>
    <w:rsid w:val="1D2422D8"/>
    <w:rsid w:val="1D3A5FA0"/>
    <w:rsid w:val="1D567413"/>
    <w:rsid w:val="1D6658A5"/>
    <w:rsid w:val="1D9A259A"/>
    <w:rsid w:val="1DA35D9B"/>
    <w:rsid w:val="1DC00253"/>
    <w:rsid w:val="1DEF28E6"/>
    <w:rsid w:val="1E026ABD"/>
    <w:rsid w:val="1E672DC4"/>
    <w:rsid w:val="1E682698"/>
    <w:rsid w:val="1E7A19C6"/>
    <w:rsid w:val="1E8C174D"/>
    <w:rsid w:val="1E933BB9"/>
    <w:rsid w:val="1EBB0A1A"/>
    <w:rsid w:val="1ECF0A05"/>
    <w:rsid w:val="1F130856"/>
    <w:rsid w:val="1F3971E9"/>
    <w:rsid w:val="1F6003BA"/>
    <w:rsid w:val="1F7E6617"/>
    <w:rsid w:val="1F817EB6"/>
    <w:rsid w:val="1FB65DB1"/>
    <w:rsid w:val="1FF02946"/>
    <w:rsid w:val="2013399E"/>
    <w:rsid w:val="20210D51"/>
    <w:rsid w:val="20656F4F"/>
    <w:rsid w:val="20832DF2"/>
    <w:rsid w:val="20880DD0"/>
    <w:rsid w:val="20CA3197"/>
    <w:rsid w:val="20D14525"/>
    <w:rsid w:val="20D61B3B"/>
    <w:rsid w:val="20DA787E"/>
    <w:rsid w:val="20DF4EBD"/>
    <w:rsid w:val="20F12E19"/>
    <w:rsid w:val="210E39CB"/>
    <w:rsid w:val="213F3B84"/>
    <w:rsid w:val="214178FD"/>
    <w:rsid w:val="215018EE"/>
    <w:rsid w:val="218E2416"/>
    <w:rsid w:val="2217065D"/>
    <w:rsid w:val="2217240B"/>
    <w:rsid w:val="221D561F"/>
    <w:rsid w:val="22572153"/>
    <w:rsid w:val="22965A26"/>
    <w:rsid w:val="22B5383E"/>
    <w:rsid w:val="22C80038"/>
    <w:rsid w:val="22D20716"/>
    <w:rsid w:val="22D905E5"/>
    <w:rsid w:val="22DF561F"/>
    <w:rsid w:val="22F861C1"/>
    <w:rsid w:val="231352C9"/>
    <w:rsid w:val="231958F7"/>
    <w:rsid w:val="23431133"/>
    <w:rsid w:val="234C4337"/>
    <w:rsid w:val="23515DF1"/>
    <w:rsid w:val="23590B53"/>
    <w:rsid w:val="236478D2"/>
    <w:rsid w:val="237C4C1C"/>
    <w:rsid w:val="23942C68"/>
    <w:rsid w:val="23B5012E"/>
    <w:rsid w:val="23EB3B50"/>
    <w:rsid w:val="23F944BF"/>
    <w:rsid w:val="23FF584D"/>
    <w:rsid w:val="241D3757"/>
    <w:rsid w:val="24376D95"/>
    <w:rsid w:val="243E0123"/>
    <w:rsid w:val="24491431"/>
    <w:rsid w:val="24575689"/>
    <w:rsid w:val="24594F5D"/>
    <w:rsid w:val="249146F7"/>
    <w:rsid w:val="249E021C"/>
    <w:rsid w:val="24B16B47"/>
    <w:rsid w:val="24CC3981"/>
    <w:rsid w:val="25056E93"/>
    <w:rsid w:val="250F7D12"/>
    <w:rsid w:val="251F7F55"/>
    <w:rsid w:val="259F2035"/>
    <w:rsid w:val="25B61F3B"/>
    <w:rsid w:val="25D16D75"/>
    <w:rsid w:val="25E90563"/>
    <w:rsid w:val="2601765A"/>
    <w:rsid w:val="26105AEF"/>
    <w:rsid w:val="26123616"/>
    <w:rsid w:val="26192BF6"/>
    <w:rsid w:val="262E114E"/>
    <w:rsid w:val="263501BB"/>
    <w:rsid w:val="264237F9"/>
    <w:rsid w:val="264A1001"/>
    <w:rsid w:val="264B1609"/>
    <w:rsid w:val="26541E80"/>
    <w:rsid w:val="268C3040"/>
    <w:rsid w:val="26A60202"/>
    <w:rsid w:val="26E50D2A"/>
    <w:rsid w:val="26E56F7C"/>
    <w:rsid w:val="272F6449"/>
    <w:rsid w:val="273F48DE"/>
    <w:rsid w:val="275B723E"/>
    <w:rsid w:val="277A21E9"/>
    <w:rsid w:val="27804915"/>
    <w:rsid w:val="27D668C5"/>
    <w:rsid w:val="27E014F2"/>
    <w:rsid w:val="28013942"/>
    <w:rsid w:val="280D5A34"/>
    <w:rsid w:val="28180C8B"/>
    <w:rsid w:val="28305FD5"/>
    <w:rsid w:val="28780664"/>
    <w:rsid w:val="289B3D96"/>
    <w:rsid w:val="28B409B4"/>
    <w:rsid w:val="28B9421C"/>
    <w:rsid w:val="28BA7F95"/>
    <w:rsid w:val="28C01A4F"/>
    <w:rsid w:val="28F95BE3"/>
    <w:rsid w:val="290811E9"/>
    <w:rsid w:val="291E6775"/>
    <w:rsid w:val="29233D8C"/>
    <w:rsid w:val="29262467"/>
    <w:rsid w:val="2927387C"/>
    <w:rsid w:val="29332221"/>
    <w:rsid w:val="294A6DC7"/>
    <w:rsid w:val="299B1B74"/>
    <w:rsid w:val="29A529F3"/>
    <w:rsid w:val="29A76E8D"/>
    <w:rsid w:val="29AA0009"/>
    <w:rsid w:val="29DF7CB3"/>
    <w:rsid w:val="29EE439A"/>
    <w:rsid w:val="29FA0F90"/>
    <w:rsid w:val="29FF2103"/>
    <w:rsid w:val="2A2A223E"/>
    <w:rsid w:val="2A3D0E7D"/>
    <w:rsid w:val="2A522246"/>
    <w:rsid w:val="2A6C52BE"/>
    <w:rsid w:val="2A737DE5"/>
    <w:rsid w:val="2A7523C5"/>
    <w:rsid w:val="2A7A5C2D"/>
    <w:rsid w:val="2A7F3244"/>
    <w:rsid w:val="2A922F77"/>
    <w:rsid w:val="2AA131BA"/>
    <w:rsid w:val="2AA352F6"/>
    <w:rsid w:val="2ABF7AE4"/>
    <w:rsid w:val="2AD76BDC"/>
    <w:rsid w:val="2AF77E4C"/>
    <w:rsid w:val="2AFC2AE6"/>
    <w:rsid w:val="2B2B6F28"/>
    <w:rsid w:val="2B930635"/>
    <w:rsid w:val="2BC2163A"/>
    <w:rsid w:val="2BE94E19"/>
    <w:rsid w:val="2C3818FC"/>
    <w:rsid w:val="2C574478"/>
    <w:rsid w:val="2C6170A5"/>
    <w:rsid w:val="2C6B0E08"/>
    <w:rsid w:val="2C8F6197"/>
    <w:rsid w:val="2CA615DB"/>
    <w:rsid w:val="2CF33A75"/>
    <w:rsid w:val="2D2A26CE"/>
    <w:rsid w:val="2D314CC9"/>
    <w:rsid w:val="2D6D2063"/>
    <w:rsid w:val="2DC47D5B"/>
    <w:rsid w:val="2DD208E6"/>
    <w:rsid w:val="2DE97352"/>
    <w:rsid w:val="2E053A60"/>
    <w:rsid w:val="2E08381C"/>
    <w:rsid w:val="2E1343CF"/>
    <w:rsid w:val="2E1F2D74"/>
    <w:rsid w:val="2E2465DC"/>
    <w:rsid w:val="2E2F34AA"/>
    <w:rsid w:val="2E693FEF"/>
    <w:rsid w:val="2E813BAA"/>
    <w:rsid w:val="2EA94D33"/>
    <w:rsid w:val="2EAB0AAB"/>
    <w:rsid w:val="2ECD6C74"/>
    <w:rsid w:val="2EED2E72"/>
    <w:rsid w:val="2F10090E"/>
    <w:rsid w:val="2FB120F1"/>
    <w:rsid w:val="2FB219C5"/>
    <w:rsid w:val="2FB76FDC"/>
    <w:rsid w:val="2FCD67FF"/>
    <w:rsid w:val="2FD35673"/>
    <w:rsid w:val="2FDE0A0C"/>
    <w:rsid w:val="2FF43D8C"/>
    <w:rsid w:val="301937F3"/>
    <w:rsid w:val="30405CA0"/>
    <w:rsid w:val="30647164"/>
    <w:rsid w:val="306A22A0"/>
    <w:rsid w:val="306E3B3E"/>
    <w:rsid w:val="3091782D"/>
    <w:rsid w:val="30B8300C"/>
    <w:rsid w:val="30C561F0"/>
    <w:rsid w:val="30DF67EA"/>
    <w:rsid w:val="31041AB2"/>
    <w:rsid w:val="312132A7"/>
    <w:rsid w:val="31342FDA"/>
    <w:rsid w:val="314D7BF8"/>
    <w:rsid w:val="3159659D"/>
    <w:rsid w:val="317C228B"/>
    <w:rsid w:val="31985EF6"/>
    <w:rsid w:val="319B60D4"/>
    <w:rsid w:val="31A33CBC"/>
    <w:rsid w:val="31CF685F"/>
    <w:rsid w:val="31D245A1"/>
    <w:rsid w:val="31E22A36"/>
    <w:rsid w:val="31E35A37"/>
    <w:rsid w:val="31E83DC4"/>
    <w:rsid w:val="31F11D76"/>
    <w:rsid w:val="321150C9"/>
    <w:rsid w:val="322070BA"/>
    <w:rsid w:val="32290665"/>
    <w:rsid w:val="32292413"/>
    <w:rsid w:val="32676A97"/>
    <w:rsid w:val="32877139"/>
    <w:rsid w:val="328C29A2"/>
    <w:rsid w:val="32936105"/>
    <w:rsid w:val="32AE46C6"/>
    <w:rsid w:val="32C0366C"/>
    <w:rsid w:val="32D25824"/>
    <w:rsid w:val="32DB1E15"/>
    <w:rsid w:val="32E12CEE"/>
    <w:rsid w:val="32EE71B8"/>
    <w:rsid w:val="32F02F31"/>
    <w:rsid w:val="33014DEF"/>
    <w:rsid w:val="330965B9"/>
    <w:rsid w:val="330B7D6A"/>
    <w:rsid w:val="3316226B"/>
    <w:rsid w:val="33174961"/>
    <w:rsid w:val="33323549"/>
    <w:rsid w:val="334F1DB7"/>
    <w:rsid w:val="335133F7"/>
    <w:rsid w:val="33557238"/>
    <w:rsid w:val="33884F17"/>
    <w:rsid w:val="338B4A07"/>
    <w:rsid w:val="33A87367"/>
    <w:rsid w:val="33B421B0"/>
    <w:rsid w:val="33CC574C"/>
    <w:rsid w:val="33D22636"/>
    <w:rsid w:val="33F7209D"/>
    <w:rsid w:val="34012F1B"/>
    <w:rsid w:val="340B046E"/>
    <w:rsid w:val="341113B0"/>
    <w:rsid w:val="34120C85"/>
    <w:rsid w:val="345614B9"/>
    <w:rsid w:val="346F2D44"/>
    <w:rsid w:val="348F22D5"/>
    <w:rsid w:val="34943D90"/>
    <w:rsid w:val="34A46A92"/>
    <w:rsid w:val="34AE07E1"/>
    <w:rsid w:val="34C75F13"/>
    <w:rsid w:val="34D55B85"/>
    <w:rsid w:val="34E7302A"/>
    <w:rsid w:val="34F42AC0"/>
    <w:rsid w:val="34F95019"/>
    <w:rsid w:val="34FF4FE4"/>
    <w:rsid w:val="3511718E"/>
    <w:rsid w:val="351D3D85"/>
    <w:rsid w:val="35417A73"/>
    <w:rsid w:val="35611EC4"/>
    <w:rsid w:val="356C015D"/>
    <w:rsid w:val="35780FBB"/>
    <w:rsid w:val="359E6C74"/>
    <w:rsid w:val="35E93C67"/>
    <w:rsid w:val="35FB2318"/>
    <w:rsid w:val="36034D29"/>
    <w:rsid w:val="36296BDA"/>
    <w:rsid w:val="363E3FB3"/>
    <w:rsid w:val="36511F38"/>
    <w:rsid w:val="3659703F"/>
    <w:rsid w:val="36783969"/>
    <w:rsid w:val="367E2601"/>
    <w:rsid w:val="36814164"/>
    <w:rsid w:val="36835E6A"/>
    <w:rsid w:val="36853990"/>
    <w:rsid w:val="368B37FE"/>
    <w:rsid w:val="36B85B13"/>
    <w:rsid w:val="36C56482"/>
    <w:rsid w:val="36E97325"/>
    <w:rsid w:val="36EB153E"/>
    <w:rsid w:val="370F76FD"/>
    <w:rsid w:val="372C6501"/>
    <w:rsid w:val="373C383C"/>
    <w:rsid w:val="375A12C0"/>
    <w:rsid w:val="375B7008"/>
    <w:rsid w:val="377A101B"/>
    <w:rsid w:val="379E11AD"/>
    <w:rsid w:val="37AB066C"/>
    <w:rsid w:val="37C30C14"/>
    <w:rsid w:val="37D63E97"/>
    <w:rsid w:val="37E34E12"/>
    <w:rsid w:val="37E82428"/>
    <w:rsid w:val="38222A28"/>
    <w:rsid w:val="383946D8"/>
    <w:rsid w:val="38397128"/>
    <w:rsid w:val="384358B1"/>
    <w:rsid w:val="3857135C"/>
    <w:rsid w:val="38606463"/>
    <w:rsid w:val="388C7258"/>
    <w:rsid w:val="38A722E3"/>
    <w:rsid w:val="38AF73EA"/>
    <w:rsid w:val="38FD1F03"/>
    <w:rsid w:val="392C0A3B"/>
    <w:rsid w:val="393C6ED0"/>
    <w:rsid w:val="39667DA2"/>
    <w:rsid w:val="39691347"/>
    <w:rsid w:val="397F500E"/>
    <w:rsid w:val="3980268B"/>
    <w:rsid w:val="398B39B3"/>
    <w:rsid w:val="39B822CE"/>
    <w:rsid w:val="39BC1DBE"/>
    <w:rsid w:val="39E76710"/>
    <w:rsid w:val="39F71049"/>
    <w:rsid w:val="39FA31D8"/>
    <w:rsid w:val="3A0948D8"/>
    <w:rsid w:val="3A296D28"/>
    <w:rsid w:val="3A325BDD"/>
    <w:rsid w:val="3A3A0F35"/>
    <w:rsid w:val="3A3A5994"/>
    <w:rsid w:val="3A410516"/>
    <w:rsid w:val="3A4A1178"/>
    <w:rsid w:val="3A903333"/>
    <w:rsid w:val="3AA36ADA"/>
    <w:rsid w:val="3AA50AA5"/>
    <w:rsid w:val="3AB75198"/>
    <w:rsid w:val="3ADC0074"/>
    <w:rsid w:val="3AE50EA1"/>
    <w:rsid w:val="3AE570F3"/>
    <w:rsid w:val="3AF64E5C"/>
    <w:rsid w:val="3B1B0D67"/>
    <w:rsid w:val="3B3A743F"/>
    <w:rsid w:val="3B64626A"/>
    <w:rsid w:val="3B722D63"/>
    <w:rsid w:val="3B7634B0"/>
    <w:rsid w:val="3B950B19"/>
    <w:rsid w:val="3BBB1B47"/>
    <w:rsid w:val="3BCA3066"/>
    <w:rsid w:val="3BD553B9"/>
    <w:rsid w:val="3BFC64A2"/>
    <w:rsid w:val="3C023224"/>
    <w:rsid w:val="3C1732DC"/>
    <w:rsid w:val="3C3011FE"/>
    <w:rsid w:val="3C504A40"/>
    <w:rsid w:val="3C687FDC"/>
    <w:rsid w:val="3C6D73A0"/>
    <w:rsid w:val="3C6F136A"/>
    <w:rsid w:val="3C706E90"/>
    <w:rsid w:val="3C7C1A56"/>
    <w:rsid w:val="3CC571DC"/>
    <w:rsid w:val="3CF03B2D"/>
    <w:rsid w:val="3CF11D7F"/>
    <w:rsid w:val="3D0A1093"/>
    <w:rsid w:val="3D3B2FFA"/>
    <w:rsid w:val="3D406863"/>
    <w:rsid w:val="3D586568"/>
    <w:rsid w:val="3D597924"/>
    <w:rsid w:val="3D600CB3"/>
    <w:rsid w:val="3D8B6100"/>
    <w:rsid w:val="3D904776"/>
    <w:rsid w:val="3D931088"/>
    <w:rsid w:val="3DD376D7"/>
    <w:rsid w:val="3DDF607B"/>
    <w:rsid w:val="3DE302EE"/>
    <w:rsid w:val="3DF57746"/>
    <w:rsid w:val="3DF8538F"/>
    <w:rsid w:val="3DFF227A"/>
    <w:rsid w:val="3E0D0E3B"/>
    <w:rsid w:val="3E1A49D1"/>
    <w:rsid w:val="3E297C7D"/>
    <w:rsid w:val="3E304B29"/>
    <w:rsid w:val="3E4405D4"/>
    <w:rsid w:val="3E570308"/>
    <w:rsid w:val="3E5B7AE8"/>
    <w:rsid w:val="3E630A5B"/>
    <w:rsid w:val="3E6D18D9"/>
    <w:rsid w:val="3E8B6203"/>
    <w:rsid w:val="3E8E35FE"/>
    <w:rsid w:val="3EA55690"/>
    <w:rsid w:val="3EC139D3"/>
    <w:rsid w:val="3ED656D0"/>
    <w:rsid w:val="3EF142B8"/>
    <w:rsid w:val="3F2521B4"/>
    <w:rsid w:val="3F3423F7"/>
    <w:rsid w:val="3F3E6DD2"/>
    <w:rsid w:val="3F620FE1"/>
    <w:rsid w:val="3FDA2F9E"/>
    <w:rsid w:val="3FEB40FC"/>
    <w:rsid w:val="3FF04570"/>
    <w:rsid w:val="3FFB1023"/>
    <w:rsid w:val="3FFF0C57"/>
    <w:rsid w:val="400A3F23"/>
    <w:rsid w:val="403E406C"/>
    <w:rsid w:val="40442B0E"/>
    <w:rsid w:val="404448BC"/>
    <w:rsid w:val="4050500F"/>
    <w:rsid w:val="40542B45"/>
    <w:rsid w:val="407231D7"/>
    <w:rsid w:val="407F58F4"/>
    <w:rsid w:val="40A35A86"/>
    <w:rsid w:val="40B03CFF"/>
    <w:rsid w:val="40B732E0"/>
    <w:rsid w:val="40BB2DD0"/>
    <w:rsid w:val="40CE5B0D"/>
    <w:rsid w:val="41151DB4"/>
    <w:rsid w:val="41214BFD"/>
    <w:rsid w:val="413C419C"/>
    <w:rsid w:val="414D76D2"/>
    <w:rsid w:val="416C231C"/>
    <w:rsid w:val="4173014A"/>
    <w:rsid w:val="41735459"/>
    <w:rsid w:val="41860462"/>
    <w:rsid w:val="418A27A2"/>
    <w:rsid w:val="418F757C"/>
    <w:rsid w:val="41D36847"/>
    <w:rsid w:val="41EC0D67"/>
    <w:rsid w:val="42004812"/>
    <w:rsid w:val="42114C71"/>
    <w:rsid w:val="4230622D"/>
    <w:rsid w:val="42817701"/>
    <w:rsid w:val="42984A4B"/>
    <w:rsid w:val="42D77C69"/>
    <w:rsid w:val="42DD6902"/>
    <w:rsid w:val="42F36125"/>
    <w:rsid w:val="42F97BDF"/>
    <w:rsid w:val="43100A85"/>
    <w:rsid w:val="43221029"/>
    <w:rsid w:val="432602A9"/>
    <w:rsid w:val="432C269E"/>
    <w:rsid w:val="434846C3"/>
    <w:rsid w:val="437B23A2"/>
    <w:rsid w:val="43A23DD3"/>
    <w:rsid w:val="43A618A9"/>
    <w:rsid w:val="43B077FF"/>
    <w:rsid w:val="43B458B4"/>
    <w:rsid w:val="43C875B2"/>
    <w:rsid w:val="43DB1093"/>
    <w:rsid w:val="43DE2931"/>
    <w:rsid w:val="43F263DD"/>
    <w:rsid w:val="440157FC"/>
    <w:rsid w:val="4411089E"/>
    <w:rsid w:val="444F55DD"/>
    <w:rsid w:val="445663F6"/>
    <w:rsid w:val="44AC2A30"/>
    <w:rsid w:val="44EB79FC"/>
    <w:rsid w:val="44FA19ED"/>
    <w:rsid w:val="454113CA"/>
    <w:rsid w:val="45C95510"/>
    <w:rsid w:val="46095888"/>
    <w:rsid w:val="46162856"/>
    <w:rsid w:val="462A2B21"/>
    <w:rsid w:val="463902F3"/>
    <w:rsid w:val="463D7D5D"/>
    <w:rsid w:val="463D7DE3"/>
    <w:rsid w:val="46537496"/>
    <w:rsid w:val="46637E54"/>
    <w:rsid w:val="46671304"/>
    <w:rsid w:val="466E61EE"/>
    <w:rsid w:val="46F1158D"/>
    <w:rsid w:val="4710374A"/>
    <w:rsid w:val="471A69C9"/>
    <w:rsid w:val="47347438"/>
    <w:rsid w:val="473D3E13"/>
    <w:rsid w:val="47680E90"/>
    <w:rsid w:val="478A7058"/>
    <w:rsid w:val="478F5094"/>
    <w:rsid w:val="479229E6"/>
    <w:rsid w:val="47C702AC"/>
    <w:rsid w:val="480A1F47"/>
    <w:rsid w:val="480C3F11"/>
    <w:rsid w:val="4812529F"/>
    <w:rsid w:val="4839240D"/>
    <w:rsid w:val="483B47F6"/>
    <w:rsid w:val="483F42E6"/>
    <w:rsid w:val="48A57EC2"/>
    <w:rsid w:val="48F21359"/>
    <w:rsid w:val="490270C2"/>
    <w:rsid w:val="49235BC9"/>
    <w:rsid w:val="492B6619"/>
    <w:rsid w:val="49400BDB"/>
    <w:rsid w:val="49557B3A"/>
    <w:rsid w:val="496D6C31"/>
    <w:rsid w:val="49880C8F"/>
    <w:rsid w:val="498C3945"/>
    <w:rsid w:val="49930D96"/>
    <w:rsid w:val="49A91FF9"/>
    <w:rsid w:val="49C01457"/>
    <w:rsid w:val="49E35145"/>
    <w:rsid w:val="49F16B90"/>
    <w:rsid w:val="4A080708"/>
    <w:rsid w:val="4A2512BA"/>
    <w:rsid w:val="4A403CEB"/>
    <w:rsid w:val="4A437992"/>
    <w:rsid w:val="4A58343D"/>
    <w:rsid w:val="4A72141D"/>
    <w:rsid w:val="4A7463FF"/>
    <w:rsid w:val="4A7D10F6"/>
    <w:rsid w:val="4A895CED"/>
    <w:rsid w:val="4A8B6AF7"/>
    <w:rsid w:val="4A985F30"/>
    <w:rsid w:val="4A99106D"/>
    <w:rsid w:val="4AA91EEB"/>
    <w:rsid w:val="4AAC5537"/>
    <w:rsid w:val="4ABB1C1E"/>
    <w:rsid w:val="4AC46D25"/>
    <w:rsid w:val="4AD835A5"/>
    <w:rsid w:val="4AF10804"/>
    <w:rsid w:val="4AFC64BF"/>
    <w:rsid w:val="4AFD3FE5"/>
    <w:rsid w:val="4B1304D7"/>
    <w:rsid w:val="4B2652EA"/>
    <w:rsid w:val="4B386DCB"/>
    <w:rsid w:val="4B5C0D0B"/>
    <w:rsid w:val="4B7D3F6F"/>
    <w:rsid w:val="4B8A7B2D"/>
    <w:rsid w:val="4BB74194"/>
    <w:rsid w:val="4BBC5C4E"/>
    <w:rsid w:val="4BED4059"/>
    <w:rsid w:val="4BFC429C"/>
    <w:rsid w:val="4C075F6E"/>
    <w:rsid w:val="4C5440D8"/>
    <w:rsid w:val="4C6205A3"/>
    <w:rsid w:val="4C765DFD"/>
    <w:rsid w:val="4C8A18A8"/>
    <w:rsid w:val="4C92075D"/>
    <w:rsid w:val="4C9B1D07"/>
    <w:rsid w:val="4CB73A16"/>
    <w:rsid w:val="4CC451D3"/>
    <w:rsid w:val="4CC823D1"/>
    <w:rsid w:val="4CE94821"/>
    <w:rsid w:val="4CEA0599"/>
    <w:rsid w:val="4D1473C4"/>
    <w:rsid w:val="4D1A0E7E"/>
    <w:rsid w:val="4D371A30"/>
    <w:rsid w:val="4D6614CB"/>
    <w:rsid w:val="4D6E11CA"/>
    <w:rsid w:val="4D754306"/>
    <w:rsid w:val="4D8C33FE"/>
    <w:rsid w:val="4D8F4F60"/>
    <w:rsid w:val="4D907392"/>
    <w:rsid w:val="4D97427D"/>
    <w:rsid w:val="4DA0550D"/>
    <w:rsid w:val="4DD12E39"/>
    <w:rsid w:val="4DD779E4"/>
    <w:rsid w:val="4DFF1E22"/>
    <w:rsid w:val="4E10402F"/>
    <w:rsid w:val="4E1B3100"/>
    <w:rsid w:val="4E5B5B21"/>
    <w:rsid w:val="4E8251DC"/>
    <w:rsid w:val="4ECC264C"/>
    <w:rsid w:val="4EEF5DE4"/>
    <w:rsid w:val="4EF90150"/>
    <w:rsid w:val="4F1D07B2"/>
    <w:rsid w:val="4F334CCE"/>
    <w:rsid w:val="4F5D4085"/>
    <w:rsid w:val="4F5F526E"/>
    <w:rsid w:val="4F602D94"/>
    <w:rsid w:val="4F685C69"/>
    <w:rsid w:val="4F8024CB"/>
    <w:rsid w:val="4FCB2904"/>
    <w:rsid w:val="4FCE41A2"/>
    <w:rsid w:val="4FE21ACA"/>
    <w:rsid w:val="501E5109"/>
    <w:rsid w:val="50210776"/>
    <w:rsid w:val="503D01FE"/>
    <w:rsid w:val="50DB6B76"/>
    <w:rsid w:val="50F07369"/>
    <w:rsid w:val="50F73284"/>
    <w:rsid w:val="51051E45"/>
    <w:rsid w:val="51383FC9"/>
    <w:rsid w:val="51422751"/>
    <w:rsid w:val="515B7CB7"/>
    <w:rsid w:val="515D758B"/>
    <w:rsid w:val="515E50B1"/>
    <w:rsid w:val="517A2B8B"/>
    <w:rsid w:val="518014CC"/>
    <w:rsid w:val="518860B4"/>
    <w:rsid w:val="519F5DF6"/>
    <w:rsid w:val="51A74CAA"/>
    <w:rsid w:val="51B11EA2"/>
    <w:rsid w:val="51E67581"/>
    <w:rsid w:val="51E775E9"/>
    <w:rsid w:val="520E0886"/>
    <w:rsid w:val="521D4C9B"/>
    <w:rsid w:val="523A78CD"/>
    <w:rsid w:val="524F15CA"/>
    <w:rsid w:val="52535E56"/>
    <w:rsid w:val="527E1EAF"/>
    <w:rsid w:val="528648C0"/>
    <w:rsid w:val="52870FD4"/>
    <w:rsid w:val="52AB4326"/>
    <w:rsid w:val="52B14033"/>
    <w:rsid w:val="52C33D66"/>
    <w:rsid w:val="52CD0741"/>
    <w:rsid w:val="52D675F5"/>
    <w:rsid w:val="52F60C57"/>
    <w:rsid w:val="53004CE5"/>
    <w:rsid w:val="53620E89"/>
    <w:rsid w:val="53937294"/>
    <w:rsid w:val="53A70F92"/>
    <w:rsid w:val="53A839AB"/>
    <w:rsid w:val="53BD2563"/>
    <w:rsid w:val="53D12B98"/>
    <w:rsid w:val="53FA37B7"/>
    <w:rsid w:val="541D0E61"/>
    <w:rsid w:val="54576514"/>
    <w:rsid w:val="548337AD"/>
    <w:rsid w:val="54AE468E"/>
    <w:rsid w:val="54BA6AA3"/>
    <w:rsid w:val="54BF3116"/>
    <w:rsid w:val="54C067AF"/>
    <w:rsid w:val="54D018A3"/>
    <w:rsid w:val="54D44008"/>
    <w:rsid w:val="54F6475D"/>
    <w:rsid w:val="54F93A6F"/>
    <w:rsid w:val="55254864"/>
    <w:rsid w:val="552918A6"/>
    <w:rsid w:val="5543118E"/>
    <w:rsid w:val="5553606B"/>
    <w:rsid w:val="556709D9"/>
    <w:rsid w:val="558477DD"/>
    <w:rsid w:val="559B0682"/>
    <w:rsid w:val="559D0757"/>
    <w:rsid w:val="55AD03B6"/>
    <w:rsid w:val="55AF412E"/>
    <w:rsid w:val="55B47996"/>
    <w:rsid w:val="55CA0F67"/>
    <w:rsid w:val="55D33BEB"/>
    <w:rsid w:val="55DC74A2"/>
    <w:rsid w:val="55EC7130"/>
    <w:rsid w:val="560725EF"/>
    <w:rsid w:val="562624FE"/>
    <w:rsid w:val="562E14F6"/>
    <w:rsid w:val="56312D95"/>
    <w:rsid w:val="564B654C"/>
    <w:rsid w:val="5660459C"/>
    <w:rsid w:val="566413BC"/>
    <w:rsid w:val="56701B0F"/>
    <w:rsid w:val="56757125"/>
    <w:rsid w:val="56772E9D"/>
    <w:rsid w:val="568850AA"/>
    <w:rsid w:val="5697495F"/>
    <w:rsid w:val="56D025AE"/>
    <w:rsid w:val="56D46542"/>
    <w:rsid w:val="56D73EF4"/>
    <w:rsid w:val="56E878F7"/>
    <w:rsid w:val="570D3802"/>
    <w:rsid w:val="570F0CE3"/>
    <w:rsid w:val="572E3C15"/>
    <w:rsid w:val="572F19CA"/>
    <w:rsid w:val="57563917"/>
    <w:rsid w:val="576976D6"/>
    <w:rsid w:val="577B076B"/>
    <w:rsid w:val="5796220E"/>
    <w:rsid w:val="57BC2B32"/>
    <w:rsid w:val="57DD4F82"/>
    <w:rsid w:val="57DD6441"/>
    <w:rsid w:val="57E207EA"/>
    <w:rsid w:val="57E97DCB"/>
    <w:rsid w:val="57FB4AB4"/>
    <w:rsid w:val="58117322"/>
    <w:rsid w:val="58214194"/>
    <w:rsid w:val="5854400C"/>
    <w:rsid w:val="58564D34"/>
    <w:rsid w:val="58580AAD"/>
    <w:rsid w:val="586456A3"/>
    <w:rsid w:val="587D0513"/>
    <w:rsid w:val="58871392"/>
    <w:rsid w:val="58B54151"/>
    <w:rsid w:val="58B77EC9"/>
    <w:rsid w:val="58BD4F4F"/>
    <w:rsid w:val="58C425E6"/>
    <w:rsid w:val="59050C34"/>
    <w:rsid w:val="590C5983"/>
    <w:rsid w:val="591744C4"/>
    <w:rsid w:val="591964D4"/>
    <w:rsid w:val="591D1D79"/>
    <w:rsid w:val="591F15CA"/>
    <w:rsid w:val="594D6137"/>
    <w:rsid w:val="596F2552"/>
    <w:rsid w:val="597B4637"/>
    <w:rsid w:val="59D46859"/>
    <w:rsid w:val="59E24AD2"/>
    <w:rsid w:val="59EC78BD"/>
    <w:rsid w:val="59FE5684"/>
    <w:rsid w:val="5A0F163F"/>
    <w:rsid w:val="5A147A38"/>
    <w:rsid w:val="5A7616BE"/>
    <w:rsid w:val="5A923AFE"/>
    <w:rsid w:val="5ABF6998"/>
    <w:rsid w:val="5AC323F8"/>
    <w:rsid w:val="5B0C1561"/>
    <w:rsid w:val="5B22733D"/>
    <w:rsid w:val="5B2B4256"/>
    <w:rsid w:val="5B37709F"/>
    <w:rsid w:val="5B394BC5"/>
    <w:rsid w:val="5B5A4B3C"/>
    <w:rsid w:val="5B6232E6"/>
    <w:rsid w:val="5B7E72A8"/>
    <w:rsid w:val="5B8D6CBF"/>
    <w:rsid w:val="5BD60666"/>
    <w:rsid w:val="5C013AA6"/>
    <w:rsid w:val="5C0E3189"/>
    <w:rsid w:val="5C221AFD"/>
    <w:rsid w:val="5C270D2A"/>
    <w:rsid w:val="5C292E8C"/>
    <w:rsid w:val="5C335AB8"/>
    <w:rsid w:val="5C3435DF"/>
    <w:rsid w:val="5C3F26AF"/>
    <w:rsid w:val="5C4001D5"/>
    <w:rsid w:val="5C757E7F"/>
    <w:rsid w:val="5C7F5DAA"/>
    <w:rsid w:val="5C9F1913"/>
    <w:rsid w:val="5CA95D7B"/>
    <w:rsid w:val="5CCE758F"/>
    <w:rsid w:val="5CD64CC8"/>
    <w:rsid w:val="5CD70649"/>
    <w:rsid w:val="5CDF354A"/>
    <w:rsid w:val="5CEE378D"/>
    <w:rsid w:val="5D221689"/>
    <w:rsid w:val="5D2C42B6"/>
    <w:rsid w:val="5D3715D8"/>
    <w:rsid w:val="5D485594"/>
    <w:rsid w:val="5D487342"/>
    <w:rsid w:val="5D521F6E"/>
    <w:rsid w:val="5D746389"/>
    <w:rsid w:val="5D7F1148"/>
    <w:rsid w:val="5D83037A"/>
    <w:rsid w:val="5D9205BD"/>
    <w:rsid w:val="5DAF116F"/>
    <w:rsid w:val="5DBC3427"/>
    <w:rsid w:val="5E007C1C"/>
    <w:rsid w:val="5E084D23"/>
    <w:rsid w:val="5E0A45F7"/>
    <w:rsid w:val="5E196F30"/>
    <w:rsid w:val="5E3B2A02"/>
    <w:rsid w:val="5E465A3C"/>
    <w:rsid w:val="5E6C4D48"/>
    <w:rsid w:val="5E84084D"/>
    <w:rsid w:val="5E8B1BDC"/>
    <w:rsid w:val="5EDF54D4"/>
    <w:rsid w:val="5F29029A"/>
    <w:rsid w:val="5F30008D"/>
    <w:rsid w:val="5F5521EA"/>
    <w:rsid w:val="5F5D2E4C"/>
    <w:rsid w:val="5F673DDF"/>
    <w:rsid w:val="5F8B4823"/>
    <w:rsid w:val="5F9C5723"/>
    <w:rsid w:val="5FBE36D4"/>
    <w:rsid w:val="5FC90E90"/>
    <w:rsid w:val="5FD21144"/>
    <w:rsid w:val="5FF23595"/>
    <w:rsid w:val="5FFC08B7"/>
    <w:rsid w:val="60002155"/>
    <w:rsid w:val="60011A2A"/>
    <w:rsid w:val="600F2399"/>
    <w:rsid w:val="6023728B"/>
    <w:rsid w:val="602F2A3B"/>
    <w:rsid w:val="60496CEB"/>
    <w:rsid w:val="60793CB6"/>
    <w:rsid w:val="608F6263"/>
    <w:rsid w:val="60A03D48"/>
    <w:rsid w:val="60A22D76"/>
    <w:rsid w:val="60C018E5"/>
    <w:rsid w:val="60C43183"/>
    <w:rsid w:val="60C767CF"/>
    <w:rsid w:val="60D1764E"/>
    <w:rsid w:val="60DE40AC"/>
    <w:rsid w:val="60DF1D6B"/>
    <w:rsid w:val="61096DE8"/>
    <w:rsid w:val="611F485D"/>
    <w:rsid w:val="61333E65"/>
    <w:rsid w:val="6162299C"/>
    <w:rsid w:val="616965E7"/>
    <w:rsid w:val="617D3332"/>
    <w:rsid w:val="618943CD"/>
    <w:rsid w:val="618B5887"/>
    <w:rsid w:val="61926DDD"/>
    <w:rsid w:val="619A3EE4"/>
    <w:rsid w:val="61A71B6D"/>
    <w:rsid w:val="61D373F6"/>
    <w:rsid w:val="61DC274E"/>
    <w:rsid w:val="620A1069"/>
    <w:rsid w:val="62145A44"/>
    <w:rsid w:val="621517BC"/>
    <w:rsid w:val="62206ADF"/>
    <w:rsid w:val="625B3673"/>
    <w:rsid w:val="62744735"/>
    <w:rsid w:val="627961EF"/>
    <w:rsid w:val="6299063F"/>
    <w:rsid w:val="629E5F73"/>
    <w:rsid w:val="62AD7C47"/>
    <w:rsid w:val="62B15989"/>
    <w:rsid w:val="62D12B57"/>
    <w:rsid w:val="62D358FF"/>
    <w:rsid w:val="62D71CE3"/>
    <w:rsid w:val="630006BE"/>
    <w:rsid w:val="63097573"/>
    <w:rsid w:val="6324615B"/>
    <w:rsid w:val="63534C92"/>
    <w:rsid w:val="637E41FF"/>
    <w:rsid w:val="63A23524"/>
    <w:rsid w:val="63AD6150"/>
    <w:rsid w:val="63D71756"/>
    <w:rsid w:val="63D77671"/>
    <w:rsid w:val="63DD455C"/>
    <w:rsid w:val="64011C9A"/>
    <w:rsid w:val="64065861"/>
    <w:rsid w:val="640815D9"/>
    <w:rsid w:val="64124205"/>
    <w:rsid w:val="64153CF6"/>
    <w:rsid w:val="641F740E"/>
    <w:rsid w:val="64216B3E"/>
    <w:rsid w:val="642559F9"/>
    <w:rsid w:val="64353BA1"/>
    <w:rsid w:val="644C6AC6"/>
    <w:rsid w:val="646F3184"/>
    <w:rsid w:val="647E189B"/>
    <w:rsid w:val="64964E36"/>
    <w:rsid w:val="649966D5"/>
    <w:rsid w:val="64D42482"/>
    <w:rsid w:val="652266CA"/>
    <w:rsid w:val="65240694"/>
    <w:rsid w:val="652E506F"/>
    <w:rsid w:val="65322E75"/>
    <w:rsid w:val="653B06DA"/>
    <w:rsid w:val="65635B7F"/>
    <w:rsid w:val="659A0809"/>
    <w:rsid w:val="65B31A18"/>
    <w:rsid w:val="65CE23AE"/>
    <w:rsid w:val="65E7353C"/>
    <w:rsid w:val="65EE0CA2"/>
    <w:rsid w:val="661204ED"/>
    <w:rsid w:val="66187ACD"/>
    <w:rsid w:val="663A5C95"/>
    <w:rsid w:val="664803B2"/>
    <w:rsid w:val="664A412A"/>
    <w:rsid w:val="66546D57"/>
    <w:rsid w:val="66560E2C"/>
    <w:rsid w:val="6656489F"/>
    <w:rsid w:val="665A1E94"/>
    <w:rsid w:val="665E6A55"/>
    <w:rsid w:val="666567CA"/>
    <w:rsid w:val="670F2C7E"/>
    <w:rsid w:val="671D192D"/>
    <w:rsid w:val="672B5F9E"/>
    <w:rsid w:val="676424F3"/>
    <w:rsid w:val="67646A7F"/>
    <w:rsid w:val="679F2254"/>
    <w:rsid w:val="67A94E81"/>
    <w:rsid w:val="67B20DE5"/>
    <w:rsid w:val="67F02AB0"/>
    <w:rsid w:val="67F43487"/>
    <w:rsid w:val="685127B4"/>
    <w:rsid w:val="68727968"/>
    <w:rsid w:val="688A4CB2"/>
    <w:rsid w:val="6897117D"/>
    <w:rsid w:val="68E5638C"/>
    <w:rsid w:val="690F51B7"/>
    <w:rsid w:val="69134737"/>
    <w:rsid w:val="69276EF5"/>
    <w:rsid w:val="693B7D5A"/>
    <w:rsid w:val="694963CE"/>
    <w:rsid w:val="696848C8"/>
    <w:rsid w:val="696C2247"/>
    <w:rsid w:val="697678E2"/>
    <w:rsid w:val="697828F1"/>
    <w:rsid w:val="697B0A9F"/>
    <w:rsid w:val="69913B4E"/>
    <w:rsid w:val="69A521C6"/>
    <w:rsid w:val="69AF0EE7"/>
    <w:rsid w:val="69C02572"/>
    <w:rsid w:val="69CA10DE"/>
    <w:rsid w:val="69F908B3"/>
    <w:rsid w:val="6A154A4F"/>
    <w:rsid w:val="6A1D56B2"/>
    <w:rsid w:val="6A1D79B0"/>
    <w:rsid w:val="6A4E644F"/>
    <w:rsid w:val="6A7A0BC7"/>
    <w:rsid w:val="6A8C6C0F"/>
    <w:rsid w:val="6A914417"/>
    <w:rsid w:val="6A9761C4"/>
    <w:rsid w:val="6AAF6C52"/>
    <w:rsid w:val="6AEC1C54"/>
    <w:rsid w:val="6AF64881"/>
    <w:rsid w:val="6B1E5B86"/>
    <w:rsid w:val="6B340F05"/>
    <w:rsid w:val="6B3D425E"/>
    <w:rsid w:val="6B45401D"/>
    <w:rsid w:val="6B6E0B0B"/>
    <w:rsid w:val="6BDF5315"/>
    <w:rsid w:val="6BF863D7"/>
    <w:rsid w:val="6BFD1C3F"/>
    <w:rsid w:val="6C0A7EB8"/>
    <w:rsid w:val="6C0E79A8"/>
    <w:rsid w:val="6C192A19"/>
    <w:rsid w:val="6C225202"/>
    <w:rsid w:val="6C611AA8"/>
    <w:rsid w:val="6C621AA2"/>
    <w:rsid w:val="6C77379F"/>
    <w:rsid w:val="6CDE737B"/>
    <w:rsid w:val="6CE77179"/>
    <w:rsid w:val="6CEC6AB0"/>
    <w:rsid w:val="6CED3E46"/>
    <w:rsid w:val="6D050DAB"/>
    <w:rsid w:val="6D186753"/>
    <w:rsid w:val="6D4416E3"/>
    <w:rsid w:val="6D65184A"/>
    <w:rsid w:val="6D7427A1"/>
    <w:rsid w:val="6D851EEC"/>
    <w:rsid w:val="6D946D06"/>
    <w:rsid w:val="6D981E62"/>
    <w:rsid w:val="6DA33502"/>
    <w:rsid w:val="6E0C4C5F"/>
    <w:rsid w:val="6E5D4C17"/>
    <w:rsid w:val="6E625D89"/>
    <w:rsid w:val="6E7B622F"/>
    <w:rsid w:val="6E82642B"/>
    <w:rsid w:val="6E9C6766"/>
    <w:rsid w:val="6EB1286D"/>
    <w:rsid w:val="6ED21161"/>
    <w:rsid w:val="6ED749C9"/>
    <w:rsid w:val="6EF77FF8"/>
    <w:rsid w:val="6EFC61DE"/>
    <w:rsid w:val="6F05512C"/>
    <w:rsid w:val="6F1572A0"/>
    <w:rsid w:val="6F1F3C7A"/>
    <w:rsid w:val="6F2179F2"/>
    <w:rsid w:val="6F2B4810"/>
    <w:rsid w:val="6F44235F"/>
    <w:rsid w:val="6F810491"/>
    <w:rsid w:val="6FAA79E8"/>
    <w:rsid w:val="6FB1521A"/>
    <w:rsid w:val="701D01BA"/>
    <w:rsid w:val="706165C6"/>
    <w:rsid w:val="70700C31"/>
    <w:rsid w:val="707430CF"/>
    <w:rsid w:val="707A0720"/>
    <w:rsid w:val="70C3408E"/>
    <w:rsid w:val="70CE3BAA"/>
    <w:rsid w:val="70D74E12"/>
    <w:rsid w:val="70D91714"/>
    <w:rsid w:val="7101188A"/>
    <w:rsid w:val="71033854"/>
    <w:rsid w:val="710C022E"/>
    <w:rsid w:val="710E3FA6"/>
    <w:rsid w:val="713C4FB8"/>
    <w:rsid w:val="713E4BAC"/>
    <w:rsid w:val="71436346"/>
    <w:rsid w:val="714A76D4"/>
    <w:rsid w:val="716F2C97"/>
    <w:rsid w:val="71926986"/>
    <w:rsid w:val="71A072F4"/>
    <w:rsid w:val="71A843FB"/>
    <w:rsid w:val="71BC3A02"/>
    <w:rsid w:val="71DE7E1D"/>
    <w:rsid w:val="71ED1FFD"/>
    <w:rsid w:val="71F25676"/>
    <w:rsid w:val="71F71048"/>
    <w:rsid w:val="71F72C8D"/>
    <w:rsid w:val="722C6DDA"/>
    <w:rsid w:val="726522EC"/>
    <w:rsid w:val="726F7ACC"/>
    <w:rsid w:val="727A4DEE"/>
    <w:rsid w:val="727A7B45"/>
    <w:rsid w:val="72966949"/>
    <w:rsid w:val="72AB41A3"/>
    <w:rsid w:val="72D66D46"/>
    <w:rsid w:val="72DC13CD"/>
    <w:rsid w:val="72FD2525"/>
    <w:rsid w:val="733777E5"/>
    <w:rsid w:val="73691968"/>
    <w:rsid w:val="73877A65"/>
    <w:rsid w:val="73893DB8"/>
    <w:rsid w:val="738B18DE"/>
    <w:rsid w:val="73920EBF"/>
    <w:rsid w:val="73A40BF2"/>
    <w:rsid w:val="73AA445A"/>
    <w:rsid w:val="73C117A4"/>
    <w:rsid w:val="73D61F49"/>
    <w:rsid w:val="73DA4614"/>
    <w:rsid w:val="73DB2274"/>
    <w:rsid w:val="73E831D5"/>
    <w:rsid w:val="73ED4347"/>
    <w:rsid w:val="73F13E37"/>
    <w:rsid w:val="7460720F"/>
    <w:rsid w:val="7467234B"/>
    <w:rsid w:val="748527D2"/>
    <w:rsid w:val="74895B47"/>
    <w:rsid w:val="749D1525"/>
    <w:rsid w:val="74A437D7"/>
    <w:rsid w:val="74AB66DC"/>
    <w:rsid w:val="74AF5AA0"/>
    <w:rsid w:val="74B63523"/>
    <w:rsid w:val="74E03EAC"/>
    <w:rsid w:val="74EC4785"/>
    <w:rsid w:val="750E0A19"/>
    <w:rsid w:val="7524023C"/>
    <w:rsid w:val="753164B5"/>
    <w:rsid w:val="75931202"/>
    <w:rsid w:val="75D05CCE"/>
    <w:rsid w:val="75D27C98"/>
    <w:rsid w:val="75DC4673"/>
    <w:rsid w:val="75DC7A85"/>
    <w:rsid w:val="760A7432"/>
    <w:rsid w:val="76562678"/>
    <w:rsid w:val="76607052"/>
    <w:rsid w:val="768C425C"/>
    <w:rsid w:val="768F5B89"/>
    <w:rsid w:val="76C361D8"/>
    <w:rsid w:val="76CD220E"/>
    <w:rsid w:val="76ED6B83"/>
    <w:rsid w:val="76FD35AD"/>
    <w:rsid w:val="7711272C"/>
    <w:rsid w:val="77212C85"/>
    <w:rsid w:val="773D55E5"/>
    <w:rsid w:val="776B2153"/>
    <w:rsid w:val="776B43D2"/>
    <w:rsid w:val="776C4EAA"/>
    <w:rsid w:val="77912C88"/>
    <w:rsid w:val="77976AA4"/>
    <w:rsid w:val="77980A6E"/>
    <w:rsid w:val="779C055E"/>
    <w:rsid w:val="77A318EC"/>
    <w:rsid w:val="77C17FC5"/>
    <w:rsid w:val="77D01FB6"/>
    <w:rsid w:val="77E3618D"/>
    <w:rsid w:val="781466A2"/>
    <w:rsid w:val="783C3374"/>
    <w:rsid w:val="789220ED"/>
    <w:rsid w:val="78943C22"/>
    <w:rsid w:val="789B0816"/>
    <w:rsid w:val="78BB0EB8"/>
    <w:rsid w:val="79102FB2"/>
    <w:rsid w:val="79132AA2"/>
    <w:rsid w:val="791660EE"/>
    <w:rsid w:val="791B145A"/>
    <w:rsid w:val="791F74D1"/>
    <w:rsid w:val="7930196F"/>
    <w:rsid w:val="793B3DA7"/>
    <w:rsid w:val="79766B8D"/>
    <w:rsid w:val="797B2F0E"/>
    <w:rsid w:val="79B04BC9"/>
    <w:rsid w:val="79CE69C9"/>
    <w:rsid w:val="79E87A8A"/>
    <w:rsid w:val="7A124B07"/>
    <w:rsid w:val="7A170370"/>
    <w:rsid w:val="7A3623FD"/>
    <w:rsid w:val="7A4D5B40"/>
    <w:rsid w:val="7A552C46"/>
    <w:rsid w:val="7A5E1AFB"/>
    <w:rsid w:val="7AA930F7"/>
    <w:rsid w:val="7AAA3893"/>
    <w:rsid w:val="7ABC4A73"/>
    <w:rsid w:val="7AD46261"/>
    <w:rsid w:val="7AD93877"/>
    <w:rsid w:val="7AE5221C"/>
    <w:rsid w:val="7AE710CF"/>
    <w:rsid w:val="7AED2E7F"/>
    <w:rsid w:val="7B0F4A02"/>
    <w:rsid w:val="7B1228E5"/>
    <w:rsid w:val="7B28624F"/>
    <w:rsid w:val="7B3E36DA"/>
    <w:rsid w:val="7B4E7DC1"/>
    <w:rsid w:val="7B706970"/>
    <w:rsid w:val="7BBA0FB3"/>
    <w:rsid w:val="7BD61513"/>
    <w:rsid w:val="7BF72207"/>
    <w:rsid w:val="7C09509A"/>
    <w:rsid w:val="7C0972AA"/>
    <w:rsid w:val="7C686C61"/>
    <w:rsid w:val="7C6D24C9"/>
    <w:rsid w:val="7CA86399"/>
    <w:rsid w:val="7CC0084B"/>
    <w:rsid w:val="7CD2057E"/>
    <w:rsid w:val="7CE704CD"/>
    <w:rsid w:val="7D034BDB"/>
    <w:rsid w:val="7D07647A"/>
    <w:rsid w:val="7D40591C"/>
    <w:rsid w:val="7D462FD3"/>
    <w:rsid w:val="7D7E2243"/>
    <w:rsid w:val="7D9B3852"/>
    <w:rsid w:val="7DA243F4"/>
    <w:rsid w:val="7DAA5057"/>
    <w:rsid w:val="7DAC0092"/>
    <w:rsid w:val="7DB14637"/>
    <w:rsid w:val="7DBB7264"/>
    <w:rsid w:val="7DC425BD"/>
    <w:rsid w:val="7DCB2C6B"/>
    <w:rsid w:val="7DDB0EDD"/>
    <w:rsid w:val="7DDC1500"/>
    <w:rsid w:val="7DE802A3"/>
    <w:rsid w:val="7E1F5A45"/>
    <w:rsid w:val="7E3E30CD"/>
    <w:rsid w:val="7E5A51EA"/>
    <w:rsid w:val="7E611BB9"/>
    <w:rsid w:val="7E6B59F3"/>
    <w:rsid w:val="7E6F61AB"/>
    <w:rsid w:val="7E977CD1"/>
    <w:rsid w:val="7EAD3464"/>
    <w:rsid w:val="7EB4692B"/>
    <w:rsid w:val="7EC16AFC"/>
    <w:rsid w:val="7ECA0929"/>
    <w:rsid w:val="7ED06D3F"/>
    <w:rsid w:val="7EDE145C"/>
    <w:rsid w:val="7EDE54B9"/>
    <w:rsid w:val="7EE12CFA"/>
    <w:rsid w:val="7F2C0419"/>
    <w:rsid w:val="7F4339B5"/>
    <w:rsid w:val="7F4B2832"/>
    <w:rsid w:val="7F73141D"/>
    <w:rsid w:val="7F8C0CB3"/>
    <w:rsid w:val="7FAC3308"/>
    <w:rsid w:val="7FC7240B"/>
    <w:rsid w:val="7FCF6F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uiPriority="99" w:name="Balloon Text"/>
    <w:lsdException w:unhideWhenUsed="0" w:uiPriority="39"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9"/>
    <w:pPr>
      <w:adjustRightInd w:val="0"/>
      <w:snapToGrid w:val="0"/>
      <w:spacing w:before="0" w:beforeAutospacing="0" w:after="0" w:afterAutospacing="0" w:line="560" w:lineRule="exact"/>
      <w:jc w:val="left"/>
      <w:outlineLvl w:val="0"/>
    </w:pPr>
    <w:rPr>
      <w:rFonts w:hint="eastAsia" w:ascii="宋体" w:hAnsi="宋体" w:eastAsia="方正黑体_GBK" w:cs="宋体"/>
      <w:bCs/>
      <w:kern w:val="44"/>
      <w:sz w:val="32"/>
      <w:szCs w:val="48"/>
      <w:lang w:bidi="ar"/>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10">
    <w:name w:val="Default Paragraph Font"/>
    <w:autoRedefine/>
    <w:semiHidden/>
    <w:unhideWhenUsed/>
    <w:qFormat/>
    <w:uiPriority w:val="1"/>
  </w:style>
  <w:style w:type="table" w:default="1" w:styleId="9">
    <w:name w:val="Normal Table"/>
    <w:autoRedefine/>
    <w:semiHidden/>
    <w:unhideWhenUsed/>
    <w:qFormat/>
    <w:uiPriority w:val="99"/>
    <w:tblPr>
      <w:tblCellMar>
        <w:top w:w="0" w:type="dxa"/>
        <w:left w:w="108" w:type="dxa"/>
        <w:bottom w:w="0" w:type="dxa"/>
        <w:right w:w="108" w:type="dxa"/>
      </w:tblCellMar>
    </w:tblPr>
  </w:style>
  <w:style w:type="paragraph" w:styleId="4">
    <w:name w:val="Body Text"/>
    <w:basedOn w:val="1"/>
    <w:autoRedefine/>
    <w:semiHidden/>
    <w:qFormat/>
    <w:uiPriority w:val="0"/>
    <w:rPr>
      <w:rFonts w:ascii="Arial" w:hAnsi="Arial" w:eastAsia="Arial" w:cs="Arial"/>
      <w:sz w:val="21"/>
      <w:szCs w:val="21"/>
      <w:lang w:val="en-US" w:eastAsia="en-US" w:bidi="ar-SA"/>
    </w:rPr>
  </w:style>
  <w:style w:type="paragraph" w:styleId="5">
    <w:name w:val="footer"/>
    <w:basedOn w:val="1"/>
    <w:autoRedefine/>
    <w:semiHidden/>
    <w:unhideWhenUsed/>
    <w:qFormat/>
    <w:uiPriority w:val="99"/>
    <w:pPr>
      <w:tabs>
        <w:tab w:val="center" w:pos="4153"/>
        <w:tab w:val="right" w:pos="8306"/>
      </w:tabs>
      <w:snapToGrid w:val="0"/>
      <w:jc w:val="left"/>
    </w:pPr>
    <w:rPr>
      <w:sz w:val="18"/>
    </w:rPr>
  </w:style>
  <w:style w:type="paragraph" w:styleId="6">
    <w:name w:val="header"/>
    <w:basedOn w:val="1"/>
    <w:autoRedefine/>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1"/>
    <w:basedOn w:val="1"/>
    <w:next w:val="1"/>
    <w:autoRedefine/>
    <w:semiHidden/>
    <w:unhideWhenUsed/>
    <w:qFormat/>
    <w:uiPriority w:val="39"/>
  </w:style>
  <w:style w:type="paragraph" w:styleId="8">
    <w:name w:val="Normal (Web)"/>
    <w:basedOn w:val="1"/>
    <w:autoRedefine/>
    <w:semiHidden/>
    <w:unhideWhenUsed/>
    <w:qFormat/>
    <w:uiPriority w:val="99"/>
    <w:pPr>
      <w:spacing w:before="0" w:beforeAutospacing="1" w:after="0" w:afterAutospacing="1"/>
      <w:ind w:left="0" w:right="0"/>
      <w:jc w:val="left"/>
    </w:pPr>
    <w:rPr>
      <w:kern w:val="0"/>
      <w:sz w:val="24"/>
      <w:lang w:val="en-US" w:eastAsia="zh-CN" w:bidi="ar"/>
    </w:rPr>
  </w:style>
  <w:style w:type="character" w:styleId="11">
    <w:name w:val="Strong"/>
    <w:basedOn w:val="10"/>
    <w:autoRedefine/>
    <w:qFormat/>
    <w:uiPriority w:val="22"/>
    <w:rPr>
      <w:b/>
    </w:rPr>
  </w:style>
  <w:style w:type="character" w:styleId="12">
    <w:name w:val="FollowedHyperlink"/>
    <w:basedOn w:val="10"/>
    <w:autoRedefine/>
    <w:semiHidden/>
    <w:unhideWhenUsed/>
    <w:qFormat/>
    <w:uiPriority w:val="99"/>
    <w:rPr>
      <w:color w:val="800080"/>
      <w:u w:val="single"/>
    </w:rPr>
  </w:style>
  <w:style w:type="character" w:styleId="13">
    <w:name w:val="Hyperlink"/>
    <w:basedOn w:val="10"/>
    <w:autoRedefine/>
    <w:semiHidden/>
    <w:unhideWhenUsed/>
    <w:qFormat/>
    <w:uiPriority w:val="99"/>
    <w:rPr>
      <w:color w:val="0000FF"/>
      <w:u w:val="single"/>
    </w:rPr>
  </w:style>
  <w:style w:type="paragraph" w:customStyle="1" w:styleId="14">
    <w:name w:val="分类号"/>
    <w:basedOn w:val="1"/>
    <w:autoRedefine/>
    <w:qFormat/>
    <w:uiPriority w:val="0"/>
    <w:rPr>
      <w:rFonts w:ascii="仿宋_GB2312" w:hAnsi="Times New Roman" w:eastAsia="仿宋_GB2312" w:cs="Times New Roman"/>
      <w:sz w:val="28"/>
      <w:szCs w:val="28"/>
    </w:rPr>
  </w:style>
  <w:style w:type="paragraph" w:customStyle="1" w:styleId="15">
    <w:name w:val="封面日期"/>
    <w:basedOn w:val="1"/>
    <w:autoRedefine/>
    <w:qFormat/>
    <w:uiPriority w:val="0"/>
    <w:pPr>
      <w:jc w:val="center"/>
    </w:pPr>
    <w:rPr>
      <w:rFonts w:ascii="黑体" w:hAnsi="Times New Roman" w:eastAsia="黑体" w:cs="Times New Roman"/>
      <w:sz w:val="32"/>
      <w:szCs w:val="32"/>
    </w:rPr>
  </w:style>
  <w:style w:type="paragraph" w:customStyle="1" w:styleId="16">
    <w:name w:val="论文标题"/>
    <w:basedOn w:val="1"/>
    <w:autoRedefine/>
    <w:qFormat/>
    <w:uiPriority w:val="0"/>
    <w:pPr>
      <w:jc w:val="center"/>
    </w:pPr>
    <w:rPr>
      <w:rFonts w:ascii="Times New Roman" w:hAnsi="Times New Roman" w:eastAsia="楷体_GB2312" w:cs="Times New Roman"/>
      <w:b/>
      <w:kern w:val="36"/>
      <w:sz w:val="52"/>
      <w:szCs w:val="52"/>
    </w:rPr>
  </w:style>
  <w:style w:type="paragraph" w:customStyle="1" w:styleId="17">
    <w:name w:val="硕士学位论文"/>
    <w:basedOn w:val="1"/>
    <w:autoRedefine/>
    <w:qFormat/>
    <w:uiPriority w:val="0"/>
    <w:pPr>
      <w:spacing w:before="240"/>
      <w:jc w:val="center"/>
    </w:pPr>
    <w:rPr>
      <w:rFonts w:ascii="Times New Roman" w:hAnsi="Times New Roman" w:eastAsia="宋体" w:cs="Times New Roman"/>
      <w:sz w:val="44"/>
      <w:szCs w:val="44"/>
    </w:rPr>
  </w:style>
  <w:style w:type="paragraph" w:customStyle="1" w:styleId="18">
    <w:name w:val="研究生姓名"/>
    <w:basedOn w:val="1"/>
    <w:autoRedefine/>
    <w:qFormat/>
    <w:uiPriority w:val="0"/>
    <w:pPr>
      <w:ind w:firstLine="700" w:firstLineChars="700"/>
    </w:pPr>
    <w:rPr>
      <w:rFonts w:ascii="Times New Roman" w:hAnsi="Times New Roman" w:eastAsia="宋体" w:cs="Times New Roman"/>
      <w:sz w:val="28"/>
      <w:szCs w:val="28"/>
    </w:rPr>
  </w:style>
  <w:style w:type="paragraph" w:customStyle="1" w:styleId="19">
    <w:name w:val="WPSOffice手动目录 1"/>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2.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lengthwise1"/>
      <sectRole val="1"/>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98</Pages>
  <Words>34715</Words>
  <Characters>35084</Characters>
  <Lines>1</Lines>
  <Paragraphs>1</Paragraphs>
  <TotalTime>1</TotalTime>
  <ScaleCrop>false</ScaleCrop>
  <LinksUpToDate>false</LinksUpToDate>
  <CharactersWithSpaces>35120</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2019-12-26T09:26:00Z</dcterms:created>
  <dc:creator>xiaofei li</dc:creator>
  <cp:lastModifiedBy>guodan1592</cp:lastModifiedBy>
  <cp:lastPrinted>2024-02-28T07:20:00Z</cp:lastPrinted>
  <dcterms:modified xsi:type="dcterms:W3CDTF">2025-03-19T08:49:27Z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8A5AA038AF504510B4332FA13994515E_13</vt:lpwstr>
  </property>
  <property fmtid="{D5CDD505-2E9C-101B-9397-08002B2CF9AE}" pid="4" name="KSOTemplateDocerSaveRecord">
    <vt:lpwstr>eyJoZGlkIjoiZGIxOThjN2Y0N2FiMWY3MmNjYmQ5Mjc5YjViYTEwODMiLCJ1c2VySWQiOiIzNjQwNzA3MTUifQ==</vt:lpwstr>
  </property>
</Properties>
</file>